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0E5" w:rsidP="34C9AE04" w:rsidRDefault="005B70E5" w14:paraId="168C6128" w14:textId="77777777">
      <w:pPr>
        <w:keepNext w:val="1"/>
        <w:keepLines w:val="1"/>
        <w:spacing w:before="200" w:after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C76B5" w:rsidP="34C9AE04" w:rsidRDefault="008F136F" w14:paraId="22780377" w14:textId="77777777">
      <w:pPr>
        <w:keepNext w:val="1"/>
        <w:keepLines w:val="1"/>
        <w:spacing w:before="200" w:after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Portreath Pre-School is committed to the highest possible standards of openness,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honesty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and accountability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In line with that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commitment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we encourage employees and others with serious concerns about any aspect of the setting operations to come forward and voice those concerns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It is recognised that certain cases will have to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proceed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on a confidential basis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This policy document makes it clear that employees can do something without fear of reprisals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This Whistle Blowing Policy is intended to encourage and enable employees to raise serious concerns within the setting rather than overlooking a problem or blowing the whistle outside.</w:t>
      </w:r>
    </w:p>
    <w:p w:rsidR="00D5696A" w:rsidP="34C9AE04" w:rsidRDefault="008F136F" w14:paraId="7129AE17" w14:textId="77777777">
      <w:pPr>
        <w:keepNext w:val="1"/>
        <w:keepLines w:val="1"/>
        <w:spacing w:before="200" w:after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Staff have the right and individual responsibility to raise any matters of concern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regarding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poor practice at work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Staff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are responsible for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safety and well-being of all children attending the setting and this is priority over loyalty towards colleagues.</w:t>
      </w:r>
    </w:p>
    <w:p w:rsidR="00D5696A" w:rsidP="34C9AE04" w:rsidRDefault="008F136F" w14:paraId="67089B98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General principles:</w:t>
      </w:r>
    </w:p>
    <w:p w:rsidR="00D5696A" w:rsidP="34C9AE04" w:rsidRDefault="008F136F" w14:paraId="5045FE25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The policy is intended to;</w:t>
      </w:r>
    </w:p>
    <w:p w:rsidR="00D5696A" w:rsidP="34C9AE04" w:rsidRDefault="008F136F" w14:paraId="2833A8CF" w14:textId="77777777">
      <w:pPr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Encourage and enable individuals to raise genuine and legitimate concerns.</w:t>
      </w:r>
    </w:p>
    <w:p w:rsidR="00D5696A" w:rsidP="34C9AE04" w:rsidRDefault="008F136F" w14:paraId="60DFDF18" w14:textId="77777777">
      <w:pPr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Support staff to take an active role in the elimination of poor practice.</w:t>
      </w:r>
    </w:p>
    <w:p w:rsidR="00D5696A" w:rsidP="34C9AE04" w:rsidRDefault="008F136F" w14:paraId="077E8A04" w14:textId="77777777">
      <w:pPr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Ensure concerns are appropriately investigated.</w:t>
      </w:r>
    </w:p>
    <w:p w:rsidR="00D5696A" w:rsidP="34C9AE04" w:rsidRDefault="008F136F" w14:paraId="1C817D51" w14:textId="77777777">
      <w:pPr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Protect those making the complaint from victimisation or retaliation.</w:t>
      </w:r>
    </w:p>
    <w:p w:rsidR="00D5696A" w:rsidP="34C9AE04" w:rsidRDefault="008F136F" w14:paraId="2EB1594E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In addition to the whistle blowing policy, the setting has other policies and procedures covering discipline,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grievance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and complaints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This policy is intended to complement these, and to cover concerns that fall outside the scope of the procedures.</w:t>
      </w:r>
    </w:p>
    <w:p w:rsidR="00D5696A" w:rsidP="34C9AE04" w:rsidRDefault="008F136F" w14:paraId="64BBC6BF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The management/committee will investigate, promptly and thoroughly, all concerns raised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in accordance with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this policy, and will take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appropriate action</w:t>
      </w:r>
    </w:p>
    <w:p w:rsidR="00D5696A" w:rsidP="34C9AE04" w:rsidRDefault="008F136F" w14:paraId="12C47D2F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Confidentiality</w:t>
      </w:r>
    </w:p>
    <w:p w:rsidR="00D5696A" w:rsidP="34C9AE04" w:rsidRDefault="008F136F" w14:paraId="170327DA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The management/committee will do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it's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best to protect a person's identity when a concern is raised, however in some circumstances identities will have to be revealed to the person complained against and the compl</w:t>
      </w:r>
      <w:r w:rsidRPr="34C9AE04" w:rsidR="007C76B5">
        <w:rPr>
          <w:rFonts w:ascii="Calibri" w:hAnsi="Calibri" w:eastAsia="Calibri" w:cs="Calibri" w:asciiTheme="minorAscii" w:hAnsiTheme="minorAscii" w:eastAsiaTheme="minorAscii" w:cstheme="minorAscii"/>
        </w:rPr>
        <w:t>ainant may be asked to provide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written or verbal evidence in support of their complaint.</w:t>
      </w:r>
    </w:p>
    <w:p w:rsidR="00D5696A" w:rsidP="34C9AE04" w:rsidRDefault="008F136F" w14:paraId="6F1C9D60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If a person's identity is to be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disclosed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, he or she will be told before the disclosure and the reasons why the disclosure is necessary.</w:t>
      </w:r>
    </w:p>
    <w:p w:rsidRPr="005B70E5" w:rsidR="005B70E5" w:rsidP="34C9AE04" w:rsidRDefault="008F136F" w14:paraId="37CE5B25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Having raised the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concerns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the management/committee will expect the complainant not to talk about it to any other person, inside or outside the setting.</w:t>
      </w:r>
    </w:p>
    <w:p w:rsidR="005B70E5" w:rsidP="34C9AE04" w:rsidRDefault="005B70E5" w14:paraId="028B6A3E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005B70E5" w:rsidP="34C9AE04" w:rsidRDefault="005B70E5" w14:paraId="39779129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00D5696A" w:rsidP="34C9AE04" w:rsidRDefault="008F136F" w14:paraId="3B08940F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Anonymous complaints</w:t>
      </w:r>
    </w:p>
    <w:p w:rsidR="00D5696A" w:rsidP="34C9AE04" w:rsidRDefault="008F136F" w14:paraId="5324DCD6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Concerns expressed anonymously, are much less powerful and harder to investigate, however they may be considered.</w:t>
      </w:r>
    </w:p>
    <w:p w:rsidR="00D5696A" w:rsidP="34C9AE04" w:rsidRDefault="008F136F" w14:paraId="4838F255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Untrue allegations</w:t>
      </w:r>
    </w:p>
    <w:p w:rsidR="00D5696A" w:rsidP="34C9AE04" w:rsidRDefault="008F136F" w14:paraId="4BB572A2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If an allegation is made in good faith but it is not confirmed by the investigation, no action will be taken against the complainant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If, however, an allegation proves to be malicious, action may be taken against the person responsible for the malicious act.</w:t>
      </w:r>
    </w:p>
    <w:p w:rsidR="00D5696A" w:rsidP="34C9AE04" w:rsidRDefault="008F136F" w14:paraId="0AFB7CD5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How to raise a concern</w:t>
      </w:r>
    </w:p>
    <w:p w:rsidR="00D5696A" w:rsidP="34C9AE04" w:rsidRDefault="008F136F" w14:paraId="6CF0B1E5" w14:textId="24BA4249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In the first instance, concerns should b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>e raised with the Designated Safeguarding Lead (</w:t>
      </w:r>
      <w:r w:rsidRPr="34C9AE04" w:rsidR="6902E50B">
        <w:rPr>
          <w:rFonts w:ascii="Calibri" w:hAnsi="Calibri" w:eastAsia="Calibri" w:cs="Calibri" w:asciiTheme="minorAscii" w:hAnsiTheme="minorAscii" w:eastAsiaTheme="minorAscii" w:cstheme="minorAscii"/>
        </w:rPr>
        <w:t>Jannah Stephens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>) or Deputy Lead (</w:t>
      </w:r>
      <w:r w:rsidRPr="34C9AE04" w:rsidR="40EB3CF8">
        <w:rPr>
          <w:rFonts w:ascii="Calibri" w:hAnsi="Calibri" w:eastAsia="Calibri" w:cs="Calibri" w:asciiTheme="minorAscii" w:hAnsiTheme="minorAscii" w:eastAsiaTheme="minorAscii" w:cstheme="minorAscii"/>
        </w:rPr>
        <w:t>Melanie Smyth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>)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However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this may not always be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appropriate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, in which case concerns shoul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 xml:space="preserve">d be raised with the management committee chairperson. </w:t>
      </w:r>
    </w:p>
    <w:p w:rsidR="00D5696A" w:rsidP="34C9AE04" w:rsidRDefault="008F136F" w14:paraId="68E59912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Concerns are best raised in writing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You are invited to set out the background and history of the concern giving names,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dates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and places where possible, and the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reason why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you are particularly concerned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The earlier you express your concerns the easier it is to take action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If you do not wish to put the allegations in writing, the person to whom you are making the complaint will make a written record of the interview and will ask you to sign to confirm the accuracy of the notes taken.</w:t>
      </w:r>
    </w:p>
    <w:p w:rsidR="00D5696A" w:rsidP="34C9AE04" w:rsidRDefault="008F136F" w14:paraId="4B2E438C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Although you will not be expected to prove the truth about your allegations, you will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be required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to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demonstrate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that there are sufficient grounds for your concern.</w:t>
      </w:r>
    </w:p>
    <w:p w:rsidR="00D5696A" w:rsidP="34C9AE04" w:rsidRDefault="008F136F" w14:paraId="48E21CF0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You should NOT:</w:t>
      </w:r>
    </w:p>
    <w:p w:rsidR="00D5696A" w:rsidP="34C9AE04" w:rsidRDefault="008F136F" w14:paraId="257CFD2E" w14:textId="77777777">
      <w:pPr>
        <w:numPr>
          <w:ilvl w:val="0"/>
          <w:numId w:val="2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Investigate the matter yourself.</w:t>
      </w:r>
    </w:p>
    <w:p w:rsidR="00D5696A" w:rsidP="34C9AE04" w:rsidRDefault="007C76B5" w14:paraId="470986F5" w14:textId="77777777">
      <w:pPr>
        <w:numPr>
          <w:ilvl w:val="0"/>
          <w:numId w:val="2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7C76B5">
        <w:rPr>
          <w:rFonts w:ascii="Calibri" w:hAnsi="Calibri" w:eastAsia="Calibri" w:cs="Calibri" w:asciiTheme="minorAscii" w:hAnsiTheme="minorAscii" w:eastAsiaTheme="minorAscii" w:cstheme="minorAscii"/>
        </w:rPr>
        <w:t>Alert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 those suspected of being involved.</w:t>
      </w:r>
    </w:p>
    <w:p w:rsidR="00D5696A" w:rsidP="34C9AE04" w:rsidRDefault="008F136F" w14:paraId="538B3626" w14:textId="77777777">
      <w:pPr>
        <w:numPr>
          <w:ilvl w:val="0"/>
          <w:numId w:val="2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Approach or accuse individuals.</w:t>
      </w:r>
    </w:p>
    <w:p w:rsidR="00D5696A" w:rsidP="34C9AE04" w:rsidRDefault="008F136F" w14:paraId="1EA94525" w14:textId="77777777">
      <w:pPr>
        <w:numPr>
          <w:ilvl w:val="0"/>
          <w:numId w:val="2"/>
        </w:numPr>
        <w:ind w:left="72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Tell anyone other than the designated persons (i.e. management/committee).</w:t>
      </w:r>
    </w:p>
    <w:p w:rsidR="00D5696A" w:rsidP="34C9AE04" w:rsidRDefault="008F136F" w14:paraId="5ECE6126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Within a week of the receipt of your concern, you will receive a written acknowledgment of your concern, with a copy of your statement where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appropriate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34C9AE04" w:rsidR="004058F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4058FB" w:rsidP="34C9AE04" w:rsidRDefault="004058FB" w14:paraId="2E71DE4D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C9AE04" w:rsidR="004058FB">
        <w:rPr>
          <w:rFonts w:ascii="Calibri" w:hAnsi="Calibri" w:eastAsia="Calibri" w:cs="Calibri" w:asciiTheme="minorAscii" w:hAnsiTheme="minorAscii" w:eastAsiaTheme="minorAscii" w:cstheme="minorAscii"/>
        </w:rPr>
        <w:t>If you feel that you need further advice before taking the decisi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>on to whistle blow you can</w:t>
      </w:r>
      <w:r w:rsidRPr="34C9AE04" w:rsidR="004058F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>ring NSPCC for advice (0800028 0285) or Ofsted Whistleblowing telephone line (0300 123 3155)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034F0C">
        <w:rPr>
          <w:rFonts w:ascii="Calibri" w:hAnsi="Calibri" w:eastAsia="Calibri" w:cs="Calibri" w:asciiTheme="minorAscii" w:hAnsiTheme="minorAscii" w:eastAsiaTheme="minorAscii" w:cstheme="minorAscii"/>
        </w:rPr>
        <w:t xml:space="preserve">These numbers are both given out during staff inductions. </w:t>
      </w:r>
    </w:p>
    <w:p w:rsidR="00A6609C" w:rsidP="34C9AE04" w:rsidRDefault="008F136F" w14:paraId="6169EE3D" w14:textId="77777777">
      <w:pPr>
        <w:pStyle w:val="NormalWeb"/>
        <w:shd w:val="clear" w:color="auto" w:fill="FFFFFF" w:themeFill="background1"/>
        <w:spacing w:after="240" w:line="336" w:lineRule="atLeast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22222"/>
          <w:sz w:val="26"/>
          <w:szCs w:val="26"/>
        </w:rPr>
      </w:pP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The management/committee will investigate your concern and within 2 weeks you will be informed of what action is being taken and will be kept up to date on the progress of the investigation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You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will also be informed of the outcome of the investigation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 xml:space="preserve">If you are not satisfied with the outcome </w:t>
      </w:r>
      <w:r w:rsidRPr="34C9AE04" w:rsidR="008F136F">
        <w:rPr>
          <w:rFonts w:ascii="Calibri" w:hAnsi="Calibri" w:eastAsia="Calibri" w:cs="Calibri" w:asciiTheme="minorAscii" w:hAnsiTheme="minorAscii" w:eastAsiaTheme="minorAscii" w:cstheme="minorAscii"/>
        </w:rPr>
        <w:t>of the investigation, you may elevate your co</w:t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</w:rPr>
        <w:t xml:space="preserve">ncerns directly with Ofsted. </w:t>
      </w:r>
    </w:p>
    <w:p w:rsidRPr="00A6609C" w:rsidR="00A6609C" w:rsidP="34C9AE04" w:rsidRDefault="00A6609C" w14:paraId="37E571D4" w14:textId="77777777">
      <w:pPr>
        <w:pStyle w:val="NormalWeb"/>
        <w:shd w:val="clear" w:color="auto" w:fill="FFFFFF" w:themeFill="background1"/>
        <w:spacing w:after="240" w:line="336" w:lineRule="atLeast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22222"/>
          <w:sz w:val="26"/>
          <w:szCs w:val="26"/>
        </w:rPr>
      </w:pP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26"/>
          <w:szCs w:val="26"/>
        </w:rPr>
        <w:t>You can contact the Whistle Blower hotline in three ways.</w:t>
      </w:r>
    </w:p>
    <w:p w:rsidRPr="00A6609C" w:rsidR="00A6609C" w:rsidP="34C9AE04" w:rsidRDefault="00A6609C" w14:paraId="784C996B" w14:textId="77777777">
      <w:pPr>
        <w:numPr>
          <w:ilvl w:val="0"/>
          <w:numId w:val="3"/>
        </w:numPr>
        <w:spacing w:after="144" w:line="336" w:lineRule="atLeast"/>
        <w:ind w:left="24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</w:pP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 xml:space="preserve">Call </w:t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 xml:space="preserve"> 0300</w:t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 xml:space="preserve"> 123 3155 (Monday to Friday from 8.00am to 6.00pm).</w:t>
      </w:r>
    </w:p>
    <w:p w:rsidRPr="00A6609C" w:rsidR="00A6609C" w:rsidP="34C9AE04" w:rsidRDefault="00A6609C" w14:paraId="2DA6A20C" w14:textId="77777777">
      <w:pPr>
        <w:numPr>
          <w:ilvl w:val="0"/>
          <w:numId w:val="3"/>
        </w:numPr>
        <w:spacing w:after="0" w:line="336" w:lineRule="atLeast"/>
        <w:ind w:left="24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</w:pP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 xml:space="preserve">Email </w:t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 </w:t>
      </w:r>
      <w:hyperlink w:history="1" r:id="R5055718ab7014718">
        <w:r w:rsidRPr="34C9AE04" w:rsidR="00A6609C">
          <w:rPr>
            <w:rFonts w:ascii="Calibri" w:hAnsi="Calibri" w:eastAsia="Calibri" w:cs="Calibri" w:asciiTheme="minorAscii" w:hAnsiTheme="minorAscii" w:eastAsiaTheme="minorAscii" w:cstheme="minorAscii"/>
            <w:b w:val="1"/>
            <w:bCs w:val="1"/>
            <w:color w:val="1B7C9B"/>
            <w:sz w:val="18"/>
            <w:szCs w:val="18"/>
            <w:bdr w:val="none" w:color="auto" w:sz="0" w:space="0" w:frame="1"/>
          </w:rPr>
          <w:t>whistleblowing@ofsted.gov.uk</w:t>
        </w:r>
      </w:hyperlink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.</w:t>
      </w:r>
    </w:p>
    <w:p w:rsidRPr="00A6609C" w:rsidR="00A6609C" w:rsidP="34C9AE04" w:rsidRDefault="00A6609C" w14:paraId="6CA369B8" w14:textId="77777777">
      <w:pPr>
        <w:numPr>
          <w:ilvl w:val="0"/>
          <w:numId w:val="3"/>
        </w:numPr>
        <w:spacing w:after="144" w:line="336" w:lineRule="atLeast"/>
        <w:ind w:left="24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</w:pP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By post</w:t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:</w:t>
      </w:r>
      <w:r>
        <w:br/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WBHL</w:t>
      </w:r>
      <w:r>
        <w:br/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Ofsted</w:t>
      </w:r>
      <w:r>
        <w:br/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Piccadilly Gate</w:t>
      </w:r>
      <w:r>
        <w:br/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Store Street</w:t>
      </w:r>
      <w:r>
        <w:br/>
      </w:r>
      <w:r w:rsidRPr="34C9AE04" w:rsidR="00A6609C">
        <w:rPr>
          <w:rFonts w:ascii="Calibri" w:hAnsi="Calibri" w:eastAsia="Calibri" w:cs="Calibri" w:asciiTheme="minorAscii" w:hAnsiTheme="minorAscii" w:eastAsiaTheme="minorAscii" w:cstheme="minorAscii"/>
          <w:color w:val="222222"/>
          <w:sz w:val="18"/>
          <w:szCs w:val="18"/>
        </w:rPr>
        <w:t>Manchester M1 2WD</w:t>
      </w:r>
    </w:p>
    <w:p w:rsidR="00F575D3" w:rsidP="34C9AE04" w:rsidRDefault="00F575D3" w14:paraId="541B9CFF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84"/>
        <w:gridCol w:w="3471"/>
        <w:gridCol w:w="1907"/>
      </w:tblGrid>
      <w:tr w:rsidRPr="00896E5F" w:rsidR="00896E5F" w:rsidTr="34C9AE04" w14:paraId="0724417F" w14:textId="77777777">
        <w:tc>
          <w:tcPr>
            <w:tcW w:w="2301" w:type="pct"/>
            <w:tcMar/>
          </w:tcPr>
          <w:p w:rsidRPr="00896E5F" w:rsidR="00896E5F" w:rsidP="34C9AE04" w:rsidRDefault="00896E5F" w14:paraId="4262C4DE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896E5F" w:rsidR="00896E5F" w:rsidP="34C9AE04" w:rsidRDefault="00896E5F" w14:paraId="62275782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896E5F" w:rsidR="00896E5F" w:rsidP="34C9AE04" w:rsidRDefault="00896E5F" w14:paraId="1A54EE6B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896E5F" w:rsidR="00896E5F" w:rsidP="34C9AE04" w:rsidRDefault="00896E5F" w14:paraId="474B50B1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C9AE04" w:rsidR="00896E5F">
              <w:rPr>
                <w:rFonts w:ascii="Calibri" w:hAnsi="Calibri" w:eastAsia="Calibri" w:cs="Calibri" w:asciiTheme="minorAscii" w:hAnsiTheme="minorAscii" w:eastAsiaTheme="minorAscii" w:cstheme="minorAscii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color="4F81BD" w:themeColor="accent1" w:sz="4" w:space="0"/>
            </w:tcBorders>
            <w:shd w:val="clear" w:color="auto" w:fill="auto"/>
            <w:tcMar/>
          </w:tcPr>
          <w:p w:rsidRPr="00896E5F" w:rsidR="00896E5F" w:rsidP="34C9AE04" w:rsidRDefault="00896E5F" w14:paraId="2F637DA1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896E5F" w:rsidR="00896E5F" w:rsidP="34C9AE04" w:rsidRDefault="00896E5F" w14:paraId="16D74F79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896E5F" w:rsidR="00896E5F" w:rsidP="34C9AE04" w:rsidRDefault="00896E5F" w14:paraId="5D10A175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896E5F" w:rsidR="00896E5F" w:rsidP="34C9AE04" w:rsidRDefault="00896E5F" w14:paraId="620EF0CD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C9AE04" w:rsidR="00896E5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Portreath Pre-School</w:t>
            </w:r>
          </w:p>
        </w:tc>
        <w:tc>
          <w:tcPr>
            <w:tcW w:w="957" w:type="pct"/>
            <w:tcMar/>
          </w:tcPr>
          <w:p w:rsidRPr="00896E5F" w:rsidR="00896E5F" w:rsidP="34C9AE04" w:rsidRDefault="00896E5F" w14:paraId="7238C681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896E5F" w:rsidR="00896E5F" w:rsidTr="34C9AE04" w14:paraId="09F1DC3D" w14:textId="77777777">
        <w:tc>
          <w:tcPr>
            <w:tcW w:w="2301" w:type="pct"/>
            <w:tcMar/>
          </w:tcPr>
          <w:p w:rsidRPr="00896E5F" w:rsidR="00896E5F" w:rsidP="34C9AE04" w:rsidRDefault="00896E5F" w14:paraId="14F157B7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C9AE04" w:rsidR="00896E5F">
              <w:rPr>
                <w:rFonts w:ascii="Calibri" w:hAnsi="Calibri" w:eastAsia="Calibri" w:cs="Calibri" w:asciiTheme="minorAscii" w:hAnsiTheme="minorAscii" w:eastAsiaTheme="minorAscii" w:cstheme="minorAscii"/>
              </w:rPr>
              <w:t>Held on</w:t>
            </w:r>
          </w:p>
        </w:tc>
        <w:tc>
          <w:tcPr>
            <w:tcW w:w="1742" w:type="pct"/>
            <w:tcBorders>
              <w:top w:val="single" w:color="4F81BD" w:themeColor="accent1" w:sz="4" w:space="0"/>
              <w:bottom w:val="single" w:color="4F81BD" w:themeColor="accent1" w:sz="4" w:space="0"/>
            </w:tcBorders>
            <w:tcMar/>
          </w:tcPr>
          <w:p w:rsidRPr="00896E5F" w:rsidR="00896E5F" w:rsidP="34C9AE04" w:rsidRDefault="00034F0C" w14:paraId="09BED243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C9AE04" w:rsidR="00034F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22.03.2019</w:t>
            </w:r>
          </w:p>
        </w:tc>
        <w:tc>
          <w:tcPr>
            <w:tcW w:w="957" w:type="pct"/>
            <w:tcMar/>
          </w:tcPr>
          <w:p w:rsidRPr="00896E5F" w:rsidR="00896E5F" w:rsidP="34C9AE04" w:rsidRDefault="00896E5F" w14:paraId="78951274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896E5F" w:rsidR="00896E5F" w:rsidTr="34C9AE04" w14:paraId="7AD8CA34" w14:textId="77777777">
        <w:tc>
          <w:tcPr>
            <w:tcW w:w="2301" w:type="pct"/>
            <w:tcMar/>
          </w:tcPr>
          <w:p w:rsidRPr="00896E5F" w:rsidR="00896E5F" w:rsidP="34C9AE04" w:rsidRDefault="00CD752F" w14:paraId="1E9AB973" w14:textId="7E03FF93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C9AE04" w:rsidR="00CD75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Last reviewed </w:t>
            </w:r>
          </w:p>
        </w:tc>
        <w:tc>
          <w:tcPr>
            <w:tcW w:w="1742" w:type="pct"/>
            <w:tcBorders>
              <w:top w:val="single" w:color="4F81BD" w:themeColor="accent1" w:sz="4" w:space="0"/>
              <w:bottom w:val="single" w:color="4F81BD" w:themeColor="accent1" w:sz="4" w:space="0"/>
            </w:tcBorders>
            <w:tcMar/>
          </w:tcPr>
          <w:p w:rsidRPr="00896E5F" w:rsidR="00896E5F" w:rsidP="34C9AE04" w:rsidRDefault="00CD752F" w14:paraId="30C9277A" w14:textId="5C5FA335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C9AE04" w:rsidR="6BE9F06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22.05.24</w:t>
            </w:r>
          </w:p>
        </w:tc>
        <w:tc>
          <w:tcPr>
            <w:tcW w:w="957" w:type="pct"/>
            <w:tcMar/>
          </w:tcPr>
          <w:p w:rsidRPr="00896E5F" w:rsidR="00896E5F" w:rsidP="34C9AE04" w:rsidRDefault="00896E5F" w14:paraId="2FFC3DBA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896E5F" w:rsidR="00896E5F" w:rsidTr="34C9AE04" w14:paraId="0C905E08" w14:textId="77777777">
        <w:tc>
          <w:tcPr>
            <w:tcW w:w="2301" w:type="pct"/>
            <w:tcMar/>
          </w:tcPr>
          <w:p w:rsidRPr="00896E5F" w:rsidR="00896E5F" w:rsidP="34C9AE04" w:rsidRDefault="00896E5F" w14:paraId="69D23196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99" w:type="pct"/>
            <w:gridSpan w:val="2"/>
            <w:tcBorders>
              <w:bottom w:val="single" w:color="4F81BD" w:themeColor="accent1" w:sz="4" w:space="0"/>
            </w:tcBorders>
            <w:tcMar/>
          </w:tcPr>
          <w:p w:rsidRPr="00896E5F" w:rsidR="00896E5F" w:rsidP="34C9AE04" w:rsidRDefault="00896E5F" w14:paraId="3FC53BB5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896E5F" w:rsidR="00896E5F" w:rsidTr="34C9AE04" w14:paraId="6AF5D9F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</w:tcPr>
          <w:p w:rsidRPr="00896E5F" w:rsidR="00896E5F" w:rsidP="34C9AE04" w:rsidRDefault="00896E5F" w14:paraId="19741321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99" w:type="pct"/>
            <w:gridSpan w:val="2"/>
            <w:tcBorders>
              <w:top w:val="single" w:color="4F81BD" w:themeColor="accent1" w:sz="4" w:space="0"/>
              <w:left w:val="nil" w:color="000000" w:themeColor="text1" w:sz="4"/>
              <w:bottom w:val="single" w:color="4F81BD" w:themeColor="accent1" w:sz="4" w:space="0"/>
              <w:right w:val="nil" w:color="000000" w:themeColor="text1" w:sz="4"/>
            </w:tcBorders>
            <w:tcMar/>
          </w:tcPr>
          <w:p w:rsidRPr="00896E5F" w:rsidR="00896E5F" w:rsidP="34C9AE04" w:rsidRDefault="00896E5F" w14:paraId="150E91A3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896E5F" w:rsidR="00896E5F" w:rsidTr="34C9AE04" w14:paraId="6778A920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</w:tcPr>
          <w:p w:rsidRPr="00896E5F" w:rsidR="00896E5F" w:rsidP="34C9AE04" w:rsidRDefault="00896E5F" w14:paraId="74B83BC3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99" w:type="pct"/>
            <w:gridSpan w:val="2"/>
            <w:tcBorders>
              <w:top w:val="single" w:color="4F81BD" w:themeColor="accent1" w:sz="4" w:space="0"/>
              <w:left w:val="nil" w:color="000000" w:themeColor="text1" w:sz="4"/>
              <w:bottom w:val="single" w:color="4F81BD" w:themeColor="accent1" w:sz="4" w:space="0"/>
              <w:right w:val="nil" w:color="000000" w:themeColor="text1" w:sz="4"/>
            </w:tcBorders>
            <w:tcMar/>
          </w:tcPr>
          <w:p w:rsidRPr="00896E5F" w:rsidR="00896E5F" w:rsidP="34C9AE04" w:rsidRDefault="00896E5F" w14:paraId="5AD99010" w14:textId="77777777">
            <w:pPr>
              <w:spacing w:after="0"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00D5696A" w:rsidP="34C9AE04" w:rsidRDefault="00D5696A" w14:paraId="1AFD1F5F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D5696A" w:rsidSect="005B70E5">
      <w:headerReference w:type="default" r:id="rId8"/>
      <w:footerReference w:type="default" r:id="rId9"/>
      <w:pgSz w:w="11906" w:h="16838" w:orient="portrait"/>
      <w:pgMar w:top="1440" w:right="1080" w:bottom="1440" w:left="108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1AE" w:rsidP="005B70E5" w:rsidRDefault="00CB71AE" w14:paraId="68A2F411" w14:textId="77777777">
      <w:pPr>
        <w:spacing w:after="0" w:line="240" w:lineRule="auto"/>
      </w:pPr>
      <w:r>
        <w:separator/>
      </w:r>
    </w:p>
  </w:endnote>
  <w:endnote w:type="continuationSeparator" w:id="0">
    <w:p w:rsidR="00CB71AE" w:rsidP="005B70E5" w:rsidRDefault="00CB71AE" w14:paraId="3F823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460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7B5" w:rsidRDefault="009F17B5" w14:paraId="07AFE824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17B5" w:rsidRDefault="009F17B5" w14:paraId="02696AC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1AE" w:rsidP="005B70E5" w:rsidRDefault="00CB71AE" w14:paraId="7BA944D1" w14:textId="77777777">
      <w:pPr>
        <w:spacing w:after="0" w:line="240" w:lineRule="auto"/>
      </w:pPr>
      <w:r>
        <w:separator/>
      </w:r>
    </w:p>
  </w:footnote>
  <w:footnote w:type="continuationSeparator" w:id="0">
    <w:p w:rsidR="00CB71AE" w:rsidP="005B70E5" w:rsidRDefault="00CB71AE" w14:paraId="598BD0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70E5" w:rsidP="34C9AE04" w:rsidRDefault="005B70E5" w14:paraId="79CBF16B" w14:textId="77777777">
    <w:pPr>
      <w:keepNext w:val="1"/>
      <w:keepLines w:val="1"/>
      <w:spacing w:before="200" w:after="0"/>
      <w:rPr>
        <w:rFonts w:ascii="Cambria" w:hAnsi="Cambria" w:eastAsia="Cambria" w:cs="Cambria"/>
        <w:b w:val="1"/>
        <w:bCs w:val="1"/>
        <w:sz w:val="28"/>
        <w:szCs w:val="28"/>
      </w:rPr>
    </w:pPr>
    <w:r>
      <w:rPr>
        <w:rFonts w:ascii="Times New Roman" w:hAnsi="Times New Roman" w:eastAsia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33FC0F4" wp14:editId="2FDA272F">
          <wp:simplePos x="0" y="0"/>
          <wp:positionH relativeFrom="page">
            <wp:posOffset>-531495</wp:posOffset>
          </wp:positionH>
          <wp:positionV relativeFrom="paragraph">
            <wp:posOffset>-318770</wp:posOffset>
          </wp:positionV>
          <wp:extent cx="1085850" cy="1022350"/>
          <wp:effectExtent l="0" t="0" r="0" b="0"/>
          <wp:wrapSquare wrapText="bothSides"/>
          <wp:docPr id="1" name="Picture 1" descr="portreath preschool logo small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reath preschool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10858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0E5" w:rsidR="34C9AE04">
      <w:rPr>
        <w:rFonts w:ascii="Arial" w:hAnsi="Arial" w:eastAsia="Times New Roman" w:cs="Arial"/>
        <w:b w:val="1"/>
        <w:bCs w:val="1"/>
        <w:sz w:val="28"/>
        <w:szCs w:val="28"/>
        <w:lang w:eastAsia="en-US"/>
      </w:rPr>
      <w:t xml:space="preserve">                   Safeguarding Children</w:t>
    </w:r>
    <w:r w:rsidRPr="34C9AE04" w:rsidR="34C9AE04">
      <w:rPr>
        <w:rFonts w:ascii="Cambria" w:hAnsi="Cambria" w:eastAsia="Cambria" w:cs="Cambria"/>
        <w:b w:val="1"/>
        <w:bCs w:val="1"/>
        <w:sz w:val="28"/>
        <w:szCs w:val="28"/>
      </w:rPr>
      <w:t xml:space="preserve"> </w:t>
    </w:r>
  </w:p>
  <w:p w:rsidRPr="005B70E5" w:rsidR="005B70E5" w:rsidP="005B70E5" w:rsidRDefault="005B70E5" w14:paraId="1FF98B5D" w14:textId="77777777">
    <w:pPr>
      <w:keepNext/>
      <w:keepLines/>
      <w:spacing w:before="200" w:after="0"/>
      <w:rPr>
        <w:rFonts w:ascii="Arial" w:hAnsi="Arial" w:eastAsia="Cambria" w:cs="Arial"/>
        <w:b/>
        <w:color w:val="4F81BD"/>
        <w:sz w:val="28"/>
      </w:rPr>
    </w:pPr>
    <w:r>
      <w:rPr>
        <w:rFonts w:ascii="Cambria" w:hAnsi="Cambria" w:eastAsia="Cambria" w:cs="Cambria"/>
        <w:b/>
        <w:sz w:val="28"/>
      </w:rPr>
      <w:t xml:space="preserve">                        </w:t>
    </w:r>
    <w:r w:rsidRPr="005B70E5">
      <w:rPr>
        <w:rFonts w:ascii="Arial" w:hAnsi="Arial" w:eastAsia="Cambria" w:cs="Arial"/>
        <w:b/>
        <w:sz w:val="28"/>
      </w:rPr>
      <w:t>Whi</w:t>
    </w:r>
    <w:r>
      <w:rPr>
        <w:rFonts w:ascii="Arial" w:hAnsi="Arial" w:eastAsia="Cambria" w:cs="Arial"/>
        <w:b/>
        <w:sz w:val="28"/>
      </w:rPr>
      <w:t>stle Blowing Policy and Guidance</w:t>
    </w:r>
  </w:p>
  <w:p w:rsidR="005B70E5" w:rsidP="005B70E5" w:rsidRDefault="005B70E5" w14:paraId="4364269B" w14:textId="77777777">
    <w:pPr>
      <w:pStyle w:val="Header"/>
    </w:pPr>
    <w:r w:rsidRPr="005B70E5">
      <w:rPr>
        <w:rFonts w:ascii="Arial" w:hAnsi="Arial" w:eastAsia="Times New Roman" w:cs="Arial"/>
        <w:b/>
        <w:sz w:val="28"/>
        <w:szCs w:val="28"/>
        <w:lang w:eastAsia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9E3"/>
    <w:multiLevelType w:val="multilevel"/>
    <w:tmpl w:val="169E1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A1630"/>
    <w:multiLevelType w:val="multilevel"/>
    <w:tmpl w:val="D71AA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DB5592"/>
    <w:multiLevelType w:val="multilevel"/>
    <w:tmpl w:val="097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6A"/>
    <w:rsid w:val="00034F0C"/>
    <w:rsid w:val="00164C55"/>
    <w:rsid w:val="004058FB"/>
    <w:rsid w:val="005B70E5"/>
    <w:rsid w:val="005E5FCC"/>
    <w:rsid w:val="00692EB2"/>
    <w:rsid w:val="007C76B5"/>
    <w:rsid w:val="00824AC5"/>
    <w:rsid w:val="0087673B"/>
    <w:rsid w:val="00896E5F"/>
    <w:rsid w:val="008F136F"/>
    <w:rsid w:val="009547DD"/>
    <w:rsid w:val="00966370"/>
    <w:rsid w:val="009F17B5"/>
    <w:rsid w:val="00A6609C"/>
    <w:rsid w:val="00CB71AE"/>
    <w:rsid w:val="00CD752F"/>
    <w:rsid w:val="00D22451"/>
    <w:rsid w:val="00D4440F"/>
    <w:rsid w:val="00D5696A"/>
    <w:rsid w:val="00E10226"/>
    <w:rsid w:val="00EB2D3F"/>
    <w:rsid w:val="00F575D3"/>
    <w:rsid w:val="00F7410A"/>
    <w:rsid w:val="00FC7780"/>
    <w:rsid w:val="0CAED367"/>
    <w:rsid w:val="34C9AE04"/>
    <w:rsid w:val="40EB3CF8"/>
    <w:rsid w:val="6902E50B"/>
    <w:rsid w:val="6BE9F064"/>
    <w:rsid w:val="783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78343"/>
  <w15:docId w15:val="{36122899-8805-4ACF-B86F-12FDD0BCF9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7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0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70E5"/>
  </w:style>
  <w:style w:type="paragraph" w:styleId="Footer">
    <w:name w:val="footer"/>
    <w:basedOn w:val="Normal"/>
    <w:link w:val="FooterChar"/>
    <w:uiPriority w:val="99"/>
    <w:unhideWhenUsed/>
    <w:rsid w:val="005B70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70E5"/>
  </w:style>
  <w:style w:type="table" w:styleId="TableGrid">
    <w:name w:val="Table Grid"/>
    <w:basedOn w:val="TableNormal"/>
    <w:rsid w:val="005B70E5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A6609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whistleblowing@ofsted.gov.uk" TargetMode="External" Id="R5055718ab70147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Portreath Pre School</dc:creator>
  <lastModifiedBy>Manager</lastModifiedBy>
  <revision>4</revision>
  <lastPrinted>2017-04-28T09:40:00.0000000Z</lastPrinted>
  <dcterms:created xsi:type="dcterms:W3CDTF">2019-03-19T13:24:00.0000000Z</dcterms:created>
  <dcterms:modified xsi:type="dcterms:W3CDTF">2024-05-30T12:35:14.2040983Z</dcterms:modified>
</coreProperties>
</file>