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3A3F" w:rsidRPr="00F26509" w:rsidRDefault="00057A53" w:rsidP="00C5542F">
      <w:pPr>
        <w:spacing w:line="360" w:lineRule="auto"/>
        <w:rPr>
          <w:rFonts w:ascii="Arial" w:hAnsi="Arial" w:cs="Arial"/>
        </w:rPr>
      </w:pPr>
      <w:r w:rsidRPr="00F26509">
        <w:rPr>
          <w:rFonts w:ascii="Arial" w:hAnsi="Arial" w:cs="Arial"/>
        </w:rPr>
        <w:t>This policy reflects the requirements</w:t>
      </w:r>
      <w:r w:rsidR="00113648">
        <w:rPr>
          <w:rFonts w:ascii="Arial" w:hAnsi="Arial" w:cs="Arial"/>
        </w:rPr>
        <w:t xml:space="preserve"> of 3.</w:t>
      </w:r>
      <w:r w:rsidR="001C5DD6">
        <w:rPr>
          <w:rFonts w:ascii="Arial" w:hAnsi="Arial" w:cs="Arial"/>
        </w:rPr>
        <w:t>55, 3.56, 3.57</w:t>
      </w:r>
      <w:r w:rsidR="00113648">
        <w:rPr>
          <w:rFonts w:ascii="Arial" w:hAnsi="Arial" w:cs="Arial"/>
        </w:rPr>
        <w:t xml:space="preserve"> of the EYFS </w:t>
      </w:r>
      <w:r w:rsidR="009E5185">
        <w:rPr>
          <w:rFonts w:ascii="Arial" w:hAnsi="Arial" w:cs="Arial"/>
        </w:rPr>
        <w:t>202</w:t>
      </w:r>
      <w:r w:rsidR="001C5DD6">
        <w:rPr>
          <w:rFonts w:ascii="Arial" w:hAnsi="Arial" w:cs="Arial"/>
        </w:rPr>
        <w:t>4</w:t>
      </w:r>
    </w:p>
    <w:p w:rsidR="00F26509" w:rsidRDefault="000D3A3F" w:rsidP="00F26509">
      <w:pPr>
        <w:spacing w:line="360" w:lineRule="auto"/>
        <w:rPr>
          <w:rFonts w:ascii="Arial" w:hAnsi="Arial" w:cs="Arial"/>
        </w:rPr>
      </w:pPr>
      <w:r w:rsidRPr="00F26509">
        <w:rPr>
          <w:rFonts w:ascii="Arial" w:hAnsi="Arial" w:cs="Arial"/>
          <w:b/>
        </w:rPr>
        <w:t xml:space="preserve">Policy </w:t>
      </w:r>
      <w:r w:rsidR="000F1545" w:rsidRPr="00F26509">
        <w:rPr>
          <w:rFonts w:ascii="Arial" w:hAnsi="Arial" w:cs="Arial"/>
          <w:b/>
        </w:rPr>
        <w:t>s</w:t>
      </w:r>
      <w:r w:rsidRPr="00F26509">
        <w:rPr>
          <w:rFonts w:ascii="Arial" w:hAnsi="Arial" w:cs="Arial"/>
          <w:b/>
        </w:rPr>
        <w:t>tatement</w:t>
      </w:r>
      <w:r w:rsidR="00F26509" w:rsidRPr="00F26509">
        <w:rPr>
          <w:rFonts w:ascii="Arial" w:hAnsi="Arial" w:cs="Arial"/>
        </w:rPr>
        <w:t xml:space="preserve"> </w:t>
      </w:r>
    </w:p>
    <w:p w:rsidR="00F26509" w:rsidRPr="00CA10BB" w:rsidRDefault="00F26509" w:rsidP="00F26509">
      <w:pPr>
        <w:spacing w:line="360" w:lineRule="auto"/>
        <w:rPr>
          <w:rFonts w:ascii="Arial" w:hAnsi="Arial" w:cs="Arial"/>
        </w:rPr>
      </w:pPr>
      <w:r w:rsidRPr="00CA10BB">
        <w:rPr>
          <w:rFonts w:ascii="Arial" w:hAnsi="Arial" w:cs="Arial"/>
        </w:rPr>
        <w:t>We maintain the highest possible food hygiene standards with regard to the purchase, storage, preparation and serving of food</w:t>
      </w:r>
      <w:r>
        <w:rPr>
          <w:rFonts w:ascii="Arial" w:hAnsi="Arial" w:cs="Arial"/>
        </w:rPr>
        <w:t>.</w:t>
      </w:r>
    </w:p>
    <w:p w:rsidR="00057A53" w:rsidRPr="00F26509" w:rsidRDefault="00057A53" w:rsidP="00C5542F">
      <w:pPr>
        <w:spacing w:line="360" w:lineRule="auto"/>
        <w:rPr>
          <w:rFonts w:ascii="Arial" w:hAnsi="Arial" w:cs="Arial"/>
        </w:rPr>
      </w:pPr>
      <w:r w:rsidRPr="00F26509">
        <w:rPr>
          <w:rFonts w:ascii="Arial" w:hAnsi="Arial" w:cs="Arial"/>
        </w:rPr>
        <w:t>Our kitchen is adequately equipped to provide healthy meals, snacks and drinks for children as necessary. There are suitable facilities for the hygienic preparation of food for children.</w:t>
      </w:r>
    </w:p>
    <w:p w:rsidR="000D3A3F" w:rsidRPr="00F26509" w:rsidRDefault="00057A53" w:rsidP="00C5542F">
      <w:pPr>
        <w:spacing w:line="360" w:lineRule="auto"/>
        <w:rPr>
          <w:rFonts w:ascii="Arial" w:hAnsi="Arial" w:cs="Arial"/>
        </w:rPr>
      </w:pPr>
      <w:r w:rsidRPr="00F26509">
        <w:rPr>
          <w:rFonts w:ascii="Arial" w:hAnsi="Arial" w:cs="Arial"/>
        </w:rPr>
        <w:t>We are confident that those responsible for preparing and handling food are competent to do so and receive training in food</w:t>
      </w:r>
      <w:r w:rsidR="00F26509" w:rsidRPr="00F26509">
        <w:rPr>
          <w:rFonts w:ascii="Arial" w:hAnsi="Arial" w:cs="Arial"/>
        </w:rPr>
        <w:t xml:space="preserve"> hygiene and understand their duty to report an outbreak of food poisoning to Ofsted and relevant bodies.</w:t>
      </w:r>
    </w:p>
    <w:p w:rsidR="00F26509" w:rsidRDefault="00F26509" w:rsidP="00C5542F">
      <w:pPr>
        <w:spacing w:line="360" w:lineRule="auto"/>
        <w:rPr>
          <w:rFonts w:ascii="Arial" w:hAnsi="Arial" w:cs="Arial"/>
        </w:rPr>
      </w:pPr>
    </w:p>
    <w:p w:rsidR="000D3A3F" w:rsidRPr="00CA10BB" w:rsidRDefault="000D3A3F" w:rsidP="00C5542F">
      <w:pPr>
        <w:spacing w:line="360" w:lineRule="auto"/>
        <w:rPr>
          <w:rFonts w:ascii="Arial" w:hAnsi="Arial" w:cs="Arial"/>
        </w:rPr>
      </w:pPr>
      <w:r w:rsidRPr="00CA10BB">
        <w:rPr>
          <w:rFonts w:ascii="Arial" w:hAnsi="Arial" w:cs="Arial"/>
        </w:rPr>
        <w:t>In our setting we provide and/or serve food for children on the following bas</w:t>
      </w:r>
      <w:r w:rsidR="00770FD6" w:rsidRPr="00CA10BB">
        <w:rPr>
          <w:rFonts w:ascii="Arial" w:hAnsi="Arial" w:cs="Arial"/>
        </w:rPr>
        <w:t>is</w:t>
      </w:r>
      <w:r w:rsidRPr="00CA10BB">
        <w:rPr>
          <w:rFonts w:ascii="Arial" w:hAnsi="Arial" w:cs="Arial"/>
        </w:rPr>
        <w:t>:</w:t>
      </w:r>
    </w:p>
    <w:p w:rsidR="000D3A3F" w:rsidRPr="00CA10BB" w:rsidRDefault="000D3A3F" w:rsidP="00770FD6">
      <w:pPr>
        <w:pStyle w:val="ListParagraph"/>
        <w:numPr>
          <w:ilvl w:val="0"/>
          <w:numId w:val="22"/>
        </w:numPr>
        <w:spacing w:line="360" w:lineRule="auto"/>
        <w:rPr>
          <w:rFonts w:ascii="Arial" w:hAnsi="Arial" w:cs="Arial"/>
        </w:rPr>
      </w:pPr>
      <w:r w:rsidRPr="00CA10BB">
        <w:rPr>
          <w:rFonts w:ascii="Arial" w:hAnsi="Arial" w:cs="Arial"/>
        </w:rPr>
        <w:t>Snacks.</w:t>
      </w:r>
    </w:p>
    <w:p w:rsidR="000D3A3F" w:rsidRPr="00F26509" w:rsidRDefault="000D3A3F" w:rsidP="006D4FED">
      <w:pPr>
        <w:pStyle w:val="ListParagraph"/>
        <w:numPr>
          <w:ilvl w:val="0"/>
          <w:numId w:val="22"/>
        </w:numPr>
        <w:spacing w:line="360" w:lineRule="auto"/>
        <w:rPr>
          <w:rFonts w:ascii="Arial" w:hAnsi="Arial" w:cs="Arial"/>
        </w:rPr>
      </w:pPr>
      <w:r w:rsidRPr="00CA10BB">
        <w:rPr>
          <w:rFonts w:ascii="Arial" w:hAnsi="Arial" w:cs="Arial"/>
        </w:rPr>
        <w:t>Packed lunches.</w:t>
      </w:r>
    </w:p>
    <w:p w:rsidR="000D3A3F" w:rsidRPr="00CA10BB" w:rsidRDefault="000D3A3F" w:rsidP="00C5542F">
      <w:pPr>
        <w:spacing w:line="360" w:lineRule="auto"/>
        <w:rPr>
          <w:rFonts w:ascii="Arial" w:hAnsi="Arial" w:cs="Arial"/>
        </w:rPr>
      </w:pPr>
    </w:p>
    <w:p w:rsidR="000D3A3F" w:rsidRPr="00CA10BB" w:rsidRDefault="000D3A3F" w:rsidP="00C5542F">
      <w:pPr>
        <w:spacing w:line="360" w:lineRule="auto"/>
        <w:rPr>
          <w:rFonts w:ascii="Arial" w:hAnsi="Arial" w:cs="Arial"/>
          <w:b/>
        </w:rPr>
      </w:pPr>
      <w:r w:rsidRPr="00CA10BB">
        <w:rPr>
          <w:rFonts w:ascii="Arial" w:hAnsi="Arial" w:cs="Arial"/>
          <w:b/>
        </w:rPr>
        <w:t>Procedures</w:t>
      </w:r>
    </w:p>
    <w:p w:rsidR="000D3A3F" w:rsidRPr="00CA10BB" w:rsidRDefault="000D3A3F" w:rsidP="00C5542F">
      <w:pPr>
        <w:spacing w:line="360" w:lineRule="auto"/>
        <w:ind w:left="360"/>
        <w:rPr>
          <w:rFonts w:ascii="Arial" w:hAnsi="Arial" w:cs="Arial"/>
          <w:b/>
        </w:rPr>
      </w:pPr>
    </w:p>
    <w:p w:rsidR="000D3A3F" w:rsidRPr="00CA10BB" w:rsidRDefault="006F19CE" w:rsidP="00C5542F">
      <w:pPr>
        <w:numPr>
          <w:ilvl w:val="0"/>
          <w:numId w:val="18"/>
        </w:numPr>
        <w:spacing w:line="360" w:lineRule="auto"/>
        <w:rPr>
          <w:rFonts w:ascii="Arial" w:hAnsi="Arial" w:cs="Arial"/>
        </w:rPr>
      </w:pPr>
      <w:r w:rsidRPr="00CA10BB">
        <w:rPr>
          <w:rFonts w:ascii="Arial" w:hAnsi="Arial" w:cs="Arial"/>
        </w:rPr>
        <w:t>All practitioners</w:t>
      </w:r>
      <w:r w:rsidR="000D3A3F" w:rsidRPr="00CA10BB">
        <w:rPr>
          <w:rFonts w:ascii="Arial" w:hAnsi="Arial" w:cs="Arial"/>
        </w:rPr>
        <w:t xml:space="preserve"> responsible for food preparation </w:t>
      </w:r>
      <w:r w:rsidR="004B6118" w:rsidRPr="00CA10BB">
        <w:rPr>
          <w:rFonts w:ascii="Arial" w:hAnsi="Arial" w:cs="Arial"/>
        </w:rPr>
        <w:t>understand</w:t>
      </w:r>
      <w:r w:rsidR="000D3A3F" w:rsidRPr="00CA10BB">
        <w:rPr>
          <w:rFonts w:ascii="Arial" w:hAnsi="Arial" w:cs="Arial"/>
        </w:rPr>
        <w:t xml:space="preserve"> the principles of Hazard Analysis and Critical Control Point (</w:t>
      </w:r>
      <w:r w:rsidR="000D3A3F" w:rsidRPr="00CA10BB">
        <w:rPr>
          <w:rStyle w:val="Strong"/>
          <w:rFonts w:ascii="Arial" w:hAnsi="Arial" w:cs="Arial"/>
          <w:b w:val="0"/>
        </w:rPr>
        <w:t>HACCP</w:t>
      </w:r>
      <w:r w:rsidR="000D3A3F" w:rsidRPr="00CA10BB">
        <w:rPr>
          <w:rFonts w:ascii="Arial" w:hAnsi="Arial" w:cs="Arial"/>
        </w:rPr>
        <w:t xml:space="preserve">) as it applies to their business. This is set out in </w:t>
      </w:r>
      <w:r w:rsidR="000D3A3F" w:rsidRPr="00CA10BB">
        <w:rPr>
          <w:rFonts w:ascii="Arial" w:hAnsi="Arial" w:cs="Arial"/>
          <w:i/>
        </w:rPr>
        <w:t>Safer Food Better Business</w:t>
      </w:r>
      <w:r w:rsidR="000D3A3F" w:rsidRPr="00CA10BB">
        <w:rPr>
          <w:rFonts w:ascii="Arial" w:hAnsi="Arial" w:cs="Arial"/>
        </w:rPr>
        <w:t>. The basis for this is risk assessment as is applies to the purchase, storage, preparation and serving of food to prevent growth of bacteria and food contamination.</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 xml:space="preserve">All staff follow the guidelines </w:t>
      </w:r>
      <w:r w:rsidRPr="00CA10BB">
        <w:rPr>
          <w:rFonts w:ascii="Arial" w:hAnsi="Arial" w:cs="Arial"/>
          <w:i/>
        </w:rPr>
        <w:t>of Safer Food Better Business</w:t>
      </w:r>
      <w:r w:rsidRPr="00CA10BB">
        <w:rPr>
          <w:rFonts w:ascii="Arial" w:hAnsi="Arial" w:cs="Arial"/>
        </w:rPr>
        <w:t>.</w:t>
      </w:r>
    </w:p>
    <w:p w:rsidR="000D3A3F" w:rsidRPr="00CA10BB" w:rsidRDefault="00A75236" w:rsidP="00C5542F">
      <w:pPr>
        <w:numPr>
          <w:ilvl w:val="0"/>
          <w:numId w:val="18"/>
        </w:numPr>
        <w:spacing w:line="360" w:lineRule="auto"/>
        <w:rPr>
          <w:rFonts w:ascii="Arial" w:hAnsi="Arial" w:cs="Arial"/>
        </w:rPr>
      </w:pPr>
      <w:r w:rsidRPr="00CA10BB">
        <w:rPr>
          <w:rFonts w:ascii="Arial" w:hAnsi="Arial" w:cs="Arial"/>
        </w:rPr>
        <w:t xml:space="preserve">There </w:t>
      </w:r>
      <w:r w:rsidR="00F362BF">
        <w:rPr>
          <w:rFonts w:ascii="Arial" w:hAnsi="Arial" w:cs="Arial"/>
        </w:rPr>
        <w:t xml:space="preserve">will be a person on site who </w:t>
      </w:r>
      <w:r w:rsidR="00CB2006" w:rsidRPr="00CA10BB">
        <w:rPr>
          <w:rFonts w:ascii="Arial" w:hAnsi="Arial" w:cs="Arial"/>
        </w:rPr>
        <w:t>has</w:t>
      </w:r>
      <w:r w:rsidR="00F362BF">
        <w:rPr>
          <w:rFonts w:ascii="Arial" w:hAnsi="Arial" w:cs="Arial"/>
        </w:rPr>
        <w:t xml:space="preserve"> </w:t>
      </w:r>
      <w:r w:rsidR="000D3A3F" w:rsidRPr="00CA10BB">
        <w:rPr>
          <w:rFonts w:ascii="Arial" w:hAnsi="Arial" w:cs="Arial"/>
        </w:rPr>
        <w:t>i</w:t>
      </w:r>
      <w:r w:rsidR="00CB2006" w:rsidRPr="00CA10BB">
        <w:rPr>
          <w:rFonts w:ascii="Arial" w:hAnsi="Arial" w:cs="Arial"/>
        </w:rPr>
        <w:t>n-date Food</w:t>
      </w:r>
      <w:r w:rsidR="006F19CE" w:rsidRPr="00CA10BB">
        <w:rPr>
          <w:rFonts w:ascii="Arial" w:hAnsi="Arial" w:cs="Arial"/>
        </w:rPr>
        <w:t xml:space="preserve"> </w:t>
      </w:r>
      <w:r w:rsidR="00CB2006" w:rsidRPr="00CA10BB">
        <w:rPr>
          <w:rFonts w:ascii="Arial" w:hAnsi="Arial" w:cs="Arial"/>
        </w:rPr>
        <w:t>Hygiene Training to Level 2 at all times when food preparation and clearing is taking place. All practitioners will have u</w:t>
      </w:r>
      <w:r w:rsidR="00F362BF">
        <w:rPr>
          <w:rFonts w:ascii="Arial" w:hAnsi="Arial" w:cs="Arial"/>
        </w:rPr>
        <w:t>p to date food hygiene training using the Safer Food Better Business training pack-this will be followed by coaching and supervision by Level 2 Food Hygiene Practitioners.</w:t>
      </w:r>
    </w:p>
    <w:p w:rsidR="000D3A3F" w:rsidRPr="00CA10BB" w:rsidRDefault="000D3A3F" w:rsidP="00770FD6">
      <w:pPr>
        <w:numPr>
          <w:ilvl w:val="0"/>
          <w:numId w:val="18"/>
        </w:numPr>
        <w:spacing w:line="360" w:lineRule="auto"/>
        <w:rPr>
          <w:rFonts w:ascii="Arial" w:hAnsi="Arial" w:cs="Arial"/>
        </w:rPr>
      </w:pPr>
      <w:r w:rsidRPr="00CA10BB">
        <w:rPr>
          <w:rFonts w:ascii="Arial" w:hAnsi="Arial" w:cs="Arial"/>
        </w:rPr>
        <w:t xml:space="preserve">The person responsible for food preparation and serving carries out daily opening and closing checks on the kitchen to ensure standards are met consistently. (See </w:t>
      </w:r>
      <w:r w:rsidRPr="00CA10BB">
        <w:rPr>
          <w:rFonts w:ascii="Arial" w:hAnsi="Arial" w:cs="Arial"/>
          <w:i/>
        </w:rPr>
        <w:t>Safer Food Better Business.</w:t>
      </w:r>
    </w:p>
    <w:p w:rsidR="006F19CE" w:rsidRPr="00CA10BB" w:rsidRDefault="009029C6" w:rsidP="00770FD6">
      <w:pPr>
        <w:numPr>
          <w:ilvl w:val="0"/>
          <w:numId w:val="18"/>
        </w:numPr>
        <w:spacing w:line="360" w:lineRule="auto"/>
        <w:rPr>
          <w:rFonts w:ascii="Arial" w:hAnsi="Arial" w:cs="Arial"/>
        </w:rPr>
      </w:pPr>
      <w:r w:rsidRPr="00CA10BB">
        <w:rPr>
          <w:rFonts w:ascii="Arial" w:hAnsi="Arial" w:cs="Arial"/>
        </w:rPr>
        <w:t xml:space="preserve">As our setting is in a communal </w:t>
      </w:r>
      <w:proofErr w:type="gramStart"/>
      <w:r w:rsidRPr="00CA10BB">
        <w:rPr>
          <w:rFonts w:ascii="Arial" w:hAnsi="Arial" w:cs="Arial"/>
        </w:rPr>
        <w:t>hall</w:t>
      </w:r>
      <w:proofErr w:type="gramEnd"/>
      <w:r w:rsidRPr="00CA10BB">
        <w:rPr>
          <w:rFonts w:ascii="Arial" w:hAnsi="Arial" w:cs="Arial"/>
        </w:rPr>
        <w:t xml:space="preserve"> we have shared use and therefore provide our own materials for all basic kitchen cleaning and personal hygiene</w:t>
      </w:r>
      <w:r w:rsidR="00F26509">
        <w:rPr>
          <w:rFonts w:ascii="Arial" w:hAnsi="Arial" w:cs="Arial"/>
        </w:rPr>
        <w:t xml:space="preserve">. </w:t>
      </w:r>
    </w:p>
    <w:p w:rsidR="000D3A3F" w:rsidRDefault="000D3A3F" w:rsidP="00C5542F">
      <w:pPr>
        <w:numPr>
          <w:ilvl w:val="0"/>
          <w:numId w:val="18"/>
        </w:numPr>
        <w:spacing w:line="360" w:lineRule="auto"/>
        <w:rPr>
          <w:rFonts w:ascii="Arial" w:hAnsi="Arial" w:cs="Arial"/>
        </w:rPr>
      </w:pPr>
      <w:r w:rsidRPr="00CA10BB">
        <w:rPr>
          <w:rFonts w:ascii="Arial" w:hAnsi="Arial" w:cs="Arial"/>
        </w:rPr>
        <w:lastRenderedPageBreak/>
        <w:t>Food is stored at correct temperatures and is checked to ensure it is in-date and not subject to contamination by pests, rodents or mould.</w:t>
      </w:r>
    </w:p>
    <w:p w:rsidR="006D40D8" w:rsidRPr="00CA10BB" w:rsidRDefault="006D40D8" w:rsidP="00C5542F">
      <w:pPr>
        <w:numPr>
          <w:ilvl w:val="0"/>
          <w:numId w:val="18"/>
        </w:numPr>
        <w:spacing w:line="360" w:lineRule="auto"/>
        <w:rPr>
          <w:rFonts w:ascii="Arial" w:hAnsi="Arial" w:cs="Arial"/>
        </w:rPr>
      </w:pPr>
      <w:r>
        <w:rPr>
          <w:rFonts w:ascii="Arial" w:hAnsi="Arial" w:cs="Arial"/>
        </w:rPr>
        <w:t xml:space="preserve">Parents are asked to put an ice pack in their child’s packed lunch box. </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Food preparation areas are cleaned before use as well as after use.</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There are separate facilities for hand-washing and for washing up.</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All surfaces are clean and non-porous.</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All utensils, crockery etc are clean and stored appropriately.</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Waste food is disposed of daily.</w:t>
      </w:r>
    </w:p>
    <w:p w:rsidR="000D3A3F" w:rsidRDefault="000D3A3F" w:rsidP="00C5542F">
      <w:pPr>
        <w:pStyle w:val="ListParagraph"/>
        <w:numPr>
          <w:ilvl w:val="0"/>
          <w:numId w:val="18"/>
        </w:numPr>
        <w:spacing w:line="360" w:lineRule="auto"/>
        <w:rPr>
          <w:rFonts w:ascii="Arial" w:hAnsi="Arial" w:cs="Arial"/>
        </w:rPr>
      </w:pPr>
      <w:r w:rsidRPr="00CA10BB">
        <w:rPr>
          <w:rFonts w:ascii="Arial" w:hAnsi="Arial" w:cs="Arial"/>
        </w:rPr>
        <w:t>Cleaning materials and other dangerous materials are stored out of children's reach</w:t>
      </w:r>
      <w:r w:rsidR="00770FD6" w:rsidRPr="00CA10BB">
        <w:rPr>
          <w:rFonts w:ascii="Arial" w:hAnsi="Arial" w:cs="Arial"/>
        </w:rPr>
        <w:t xml:space="preserve"> in a locked storage </w:t>
      </w:r>
      <w:r w:rsidR="004B6118" w:rsidRPr="00CA10BB">
        <w:rPr>
          <w:rFonts w:ascii="Arial" w:hAnsi="Arial" w:cs="Arial"/>
        </w:rPr>
        <w:t>cupboard</w:t>
      </w:r>
      <w:r w:rsidRPr="00CA10BB">
        <w:rPr>
          <w:rFonts w:ascii="Arial" w:hAnsi="Arial" w:cs="Arial"/>
        </w:rPr>
        <w:t>.</w:t>
      </w:r>
    </w:p>
    <w:p w:rsidR="004602A2" w:rsidRPr="00CA10BB" w:rsidRDefault="004602A2" w:rsidP="00C5542F">
      <w:pPr>
        <w:pStyle w:val="ListParagraph"/>
        <w:numPr>
          <w:ilvl w:val="0"/>
          <w:numId w:val="18"/>
        </w:numPr>
        <w:spacing w:line="360" w:lineRule="auto"/>
        <w:rPr>
          <w:rFonts w:ascii="Arial" w:hAnsi="Arial" w:cs="Arial"/>
        </w:rPr>
      </w:pPr>
      <w:r>
        <w:rPr>
          <w:rFonts w:ascii="Arial" w:hAnsi="Arial" w:cs="Arial"/>
        </w:rPr>
        <w:t>Protective clothing is provided.</w:t>
      </w:r>
    </w:p>
    <w:p w:rsidR="00A75236" w:rsidRPr="00CA10BB" w:rsidRDefault="00A75236" w:rsidP="00C5542F">
      <w:pPr>
        <w:pStyle w:val="ListParagraph"/>
        <w:numPr>
          <w:ilvl w:val="0"/>
          <w:numId w:val="18"/>
        </w:numPr>
        <w:spacing w:line="360" w:lineRule="auto"/>
        <w:rPr>
          <w:rFonts w:ascii="Arial" w:hAnsi="Arial" w:cs="Arial"/>
        </w:rPr>
      </w:pPr>
      <w:r w:rsidRPr="00CA10BB">
        <w:rPr>
          <w:rFonts w:ascii="Arial" w:hAnsi="Arial" w:cs="Arial"/>
        </w:rPr>
        <w:t>Bins have tightly fitting lids.</w:t>
      </w:r>
    </w:p>
    <w:p w:rsidR="000D3A3F" w:rsidRPr="00CA10BB" w:rsidRDefault="000D3A3F" w:rsidP="00C5542F">
      <w:pPr>
        <w:pStyle w:val="ListParagraph"/>
        <w:numPr>
          <w:ilvl w:val="0"/>
          <w:numId w:val="18"/>
        </w:numPr>
        <w:spacing w:line="360" w:lineRule="auto"/>
        <w:rPr>
          <w:rFonts w:ascii="Arial" w:hAnsi="Arial" w:cs="Arial"/>
        </w:rPr>
      </w:pPr>
      <w:r w:rsidRPr="00CA10BB">
        <w:rPr>
          <w:rFonts w:ascii="Arial" w:hAnsi="Arial" w:cs="Arial"/>
        </w:rPr>
        <w:t>Children do not have unsupervised access to the kitchen.</w:t>
      </w:r>
    </w:p>
    <w:p w:rsidR="000D3A3F" w:rsidRPr="00CA10BB" w:rsidRDefault="000D3A3F" w:rsidP="00C5542F">
      <w:pPr>
        <w:numPr>
          <w:ilvl w:val="0"/>
          <w:numId w:val="18"/>
        </w:numPr>
        <w:spacing w:line="360" w:lineRule="auto"/>
        <w:rPr>
          <w:rFonts w:ascii="Arial" w:hAnsi="Arial" w:cs="Arial"/>
        </w:rPr>
      </w:pPr>
      <w:r w:rsidRPr="00CA10BB">
        <w:rPr>
          <w:rFonts w:ascii="Arial" w:hAnsi="Arial" w:cs="Arial"/>
        </w:rPr>
        <w:t>When children take part in cooking activities, they:</w:t>
      </w:r>
    </w:p>
    <w:p w:rsidR="000D3A3F" w:rsidRPr="00CA10BB" w:rsidRDefault="000D3A3F" w:rsidP="006D4FED">
      <w:pPr>
        <w:numPr>
          <w:ilvl w:val="0"/>
          <w:numId w:val="23"/>
        </w:numPr>
        <w:spacing w:line="360" w:lineRule="auto"/>
        <w:rPr>
          <w:rFonts w:ascii="Arial" w:hAnsi="Arial" w:cs="Arial"/>
        </w:rPr>
      </w:pPr>
      <w:r w:rsidRPr="00CA10BB">
        <w:rPr>
          <w:rFonts w:ascii="Arial" w:hAnsi="Arial" w:cs="Arial"/>
        </w:rPr>
        <w:t>are supervised at all times;</w:t>
      </w:r>
    </w:p>
    <w:p w:rsidR="000D3A3F" w:rsidRPr="00CA10BB" w:rsidRDefault="000D3A3F" w:rsidP="006D4FED">
      <w:pPr>
        <w:numPr>
          <w:ilvl w:val="0"/>
          <w:numId w:val="23"/>
        </w:numPr>
        <w:spacing w:line="360" w:lineRule="auto"/>
        <w:rPr>
          <w:rFonts w:ascii="Arial" w:hAnsi="Arial" w:cs="Arial"/>
        </w:rPr>
      </w:pPr>
      <w:r w:rsidRPr="00CA10BB">
        <w:rPr>
          <w:rFonts w:ascii="Arial" w:hAnsi="Arial" w:cs="Arial"/>
        </w:rPr>
        <w:t>understand the importance of hand washing and simple hygiene rules</w:t>
      </w:r>
    </w:p>
    <w:p w:rsidR="000D3A3F" w:rsidRPr="00F26509" w:rsidRDefault="000D3A3F" w:rsidP="00F26509">
      <w:pPr>
        <w:numPr>
          <w:ilvl w:val="0"/>
          <w:numId w:val="23"/>
        </w:numPr>
        <w:spacing w:line="360" w:lineRule="auto"/>
        <w:rPr>
          <w:rFonts w:ascii="Arial" w:hAnsi="Arial" w:cs="Arial"/>
        </w:rPr>
      </w:pPr>
      <w:r w:rsidRPr="00CA10BB">
        <w:rPr>
          <w:rFonts w:ascii="Arial" w:hAnsi="Arial" w:cs="Arial"/>
        </w:rPr>
        <w:t xml:space="preserve">are kept away from hot surfaces and hot water; and </w:t>
      </w:r>
      <w:r w:rsidRPr="00F26509">
        <w:rPr>
          <w:rFonts w:ascii="Arial" w:hAnsi="Arial" w:cs="Arial"/>
        </w:rPr>
        <w:t>do not have unsupervised access to electrical equipment such as blenders etc.</w:t>
      </w:r>
    </w:p>
    <w:p w:rsidR="000D3A3F" w:rsidRPr="00CA10BB" w:rsidRDefault="000D3A3F" w:rsidP="00C5542F">
      <w:pPr>
        <w:spacing w:line="360" w:lineRule="auto"/>
        <w:ind w:left="360"/>
        <w:rPr>
          <w:rFonts w:ascii="Arial" w:hAnsi="Arial" w:cs="Arial"/>
          <w:b/>
        </w:rPr>
      </w:pPr>
    </w:p>
    <w:p w:rsidR="000D3A3F" w:rsidRPr="002B6F44" w:rsidRDefault="000D3A3F" w:rsidP="00C5542F">
      <w:pPr>
        <w:spacing w:line="360" w:lineRule="auto"/>
        <w:rPr>
          <w:rFonts w:ascii="Arial" w:hAnsi="Arial" w:cs="Arial"/>
          <w:b/>
        </w:rPr>
      </w:pPr>
      <w:r w:rsidRPr="002B6F44">
        <w:rPr>
          <w:rFonts w:ascii="Arial" w:hAnsi="Arial" w:cs="Arial"/>
          <w:b/>
          <w:i/>
        </w:rPr>
        <w:t>Reporting of food poisoning</w:t>
      </w:r>
    </w:p>
    <w:p w:rsidR="000D3A3F" w:rsidRPr="00CA10BB" w:rsidRDefault="000D3A3F" w:rsidP="006D4FED">
      <w:pPr>
        <w:pStyle w:val="ListParagraph"/>
        <w:numPr>
          <w:ilvl w:val="0"/>
          <w:numId w:val="24"/>
        </w:numPr>
        <w:spacing w:line="360" w:lineRule="auto"/>
        <w:rPr>
          <w:rFonts w:ascii="Arial" w:hAnsi="Arial" w:cs="Arial"/>
        </w:rPr>
      </w:pPr>
      <w:r w:rsidRPr="00CA10BB">
        <w:rPr>
          <w:rFonts w:ascii="Arial" w:hAnsi="Arial" w:cs="Arial"/>
        </w:rPr>
        <w:t>Food poisoning can occur for a number of reasons; not all cases of sickness or diarrhoea are as a result of food poisoning and not all cases of sickness or diarrhoea are reportable.</w:t>
      </w:r>
    </w:p>
    <w:p w:rsidR="00411654" w:rsidRDefault="000D3A3F" w:rsidP="00411654">
      <w:pPr>
        <w:pStyle w:val="ListParagraph"/>
        <w:numPr>
          <w:ilvl w:val="0"/>
          <w:numId w:val="24"/>
        </w:numPr>
        <w:spacing w:line="360" w:lineRule="auto"/>
        <w:rPr>
          <w:rFonts w:ascii="Arial" w:hAnsi="Arial" w:cs="Arial"/>
        </w:rPr>
      </w:pPr>
      <w:r w:rsidRPr="00CA10BB">
        <w:rPr>
          <w:rFonts w:ascii="Arial" w:hAnsi="Arial" w:cs="Arial"/>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rsidR="00853A56" w:rsidRPr="00411654" w:rsidRDefault="00853A56" w:rsidP="00411654">
      <w:pPr>
        <w:pStyle w:val="ListParagraph"/>
        <w:numPr>
          <w:ilvl w:val="0"/>
          <w:numId w:val="24"/>
        </w:numPr>
        <w:spacing w:line="360" w:lineRule="auto"/>
        <w:rPr>
          <w:rFonts w:ascii="Arial" w:hAnsi="Arial" w:cs="Arial"/>
        </w:rPr>
      </w:pPr>
      <w:r w:rsidRPr="00411654">
        <w:rPr>
          <w:rFonts w:ascii="Arial" w:hAnsi="Arial" w:cs="Arial"/>
        </w:rPr>
        <w:t xml:space="preserve">Registered providers must notify Ofsted of any food poisoning affecting </w:t>
      </w:r>
    </w:p>
    <w:p w:rsidR="00853A56" w:rsidRPr="00CA10BB" w:rsidRDefault="00853A56" w:rsidP="00853A56">
      <w:pPr>
        <w:pStyle w:val="ListParagraph"/>
        <w:spacing w:line="360" w:lineRule="auto"/>
        <w:ind w:left="360"/>
        <w:rPr>
          <w:rFonts w:ascii="Arial" w:hAnsi="Arial" w:cs="Arial"/>
        </w:rPr>
      </w:pPr>
      <w:r w:rsidRPr="00CA10BB">
        <w:rPr>
          <w:rFonts w:ascii="Arial" w:hAnsi="Arial" w:cs="Arial"/>
        </w:rPr>
        <w:t xml:space="preserve">two or more children looked after on the premises. Notification must be made </w:t>
      </w:r>
    </w:p>
    <w:p w:rsidR="00853A56" w:rsidRPr="00CA10BB" w:rsidRDefault="00853A56" w:rsidP="00853A56">
      <w:pPr>
        <w:pStyle w:val="ListParagraph"/>
        <w:spacing w:line="360" w:lineRule="auto"/>
        <w:ind w:left="360"/>
        <w:rPr>
          <w:rFonts w:ascii="Arial" w:hAnsi="Arial" w:cs="Arial"/>
        </w:rPr>
      </w:pPr>
      <w:r w:rsidRPr="00CA10BB">
        <w:rPr>
          <w:rFonts w:ascii="Arial" w:hAnsi="Arial" w:cs="Arial"/>
        </w:rPr>
        <w:t xml:space="preserve">as soon as is reasonably practicable, but in any event within 14 days of the </w:t>
      </w:r>
    </w:p>
    <w:p w:rsidR="000D3A3F" w:rsidRPr="00CA10BB" w:rsidRDefault="00853A56" w:rsidP="00853A56">
      <w:pPr>
        <w:pStyle w:val="ListParagraph"/>
        <w:spacing w:line="360" w:lineRule="auto"/>
        <w:ind w:left="360"/>
        <w:rPr>
          <w:rFonts w:ascii="Arial" w:hAnsi="Arial" w:cs="Arial"/>
        </w:rPr>
      </w:pPr>
      <w:r w:rsidRPr="00CA10BB">
        <w:rPr>
          <w:rFonts w:ascii="Arial" w:hAnsi="Arial" w:cs="Arial"/>
        </w:rPr>
        <w:t>incident</w:t>
      </w:r>
      <w:r w:rsidRPr="00057A53">
        <w:rPr>
          <w:rFonts w:ascii="Arial" w:hAnsi="Arial" w:cs="Arial"/>
        </w:rPr>
        <w:t xml:space="preserve">. </w:t>
      </w:r>
      <w:r w:rsidR="00057A53" w:rsidRPr="00057A53">
        <w:rPr>
          <w:rFonts w:ascii="Arial" w:hAnsi="Arial" w:cs="Arial"/>
        </w:rPr>
        <w:t>If we fail in our duty to do so, without a reasonable excuse, we will be committing</w:t>
      </w:r>
      <w:r w:rsidR="006A2C88">
        <w:rPr>
          <w:rFonts w:ascii="Arial" w:hAnsi="Arial" w:cs="Arial"/>
        </w:rPr>
        <w:t xml:space="preserve"> an offence (EYFS 20</w:t>
      </w:r>
      <w:r w:rsidR="009E5185">
        <w:rPr>
          <w:rFonts w:ascii="Arial" w:hAnsi="Arial" w:cs="Arial"/>
        </w:rPr>
        <w:t>2</w:t>
      </w:r>
      <w:r w:rsidR="001C5DD6">
        <w:rPr>
          <w:rFonts w:ascii="Arial" w:hAnsi="Arial" w:cs="Arial"/>
        </w:rPr>
        <w:t>4</w:t>
      </w:r>
      <w:r w:rsidR="00057A53">
        <w:rPr>
          <w:rFonts w:ascii="Arial" w:hAnsi="Arial" w:cs="Arial"/>
        </w:rPr>
        <w:t xml:space="preserve"> 3.</w:t>
      </w:r>
      <w:r w:rsidR="009E5185">
        <w:rPr>
          <w:rFonts w:ascii="Arial" w:hAnsi="Arial" w:cs="Arial"/>
        </w:rPr>
        <w:t>5</w:t>
      </w:r>
      <w:r w:rsidR="001C5DD6">
        <w:rPr>
          <w:rFonts w:ascii="Arial" w:hAnsi="Arial" w:cs="Arial"/>
        </w:rPr>
        <w:t>7</w:t>
      </w:r>
      <w:r w:rsidR="00057A53">
        <w:rPr>
          <w:rFonts w:ascii="Arial" w:hAnsi="Arial" w:cs="Arial"/>
        </w:rPr>
        <w:t>)</w:t>
      </w:r>
    </w:p>
    <w:p w:rsidR="00474503" w:rsidRDefault="00474503" w:rsidP="00C5542F">
      <w:pPr>
        <w:spacing w:line="360" w:lineRule="auto"/>
        <w:rPr>
          <w:rFonts w:ascii="Arial" w:hAnsi="Arial" w:cs="Arial"/>
          <w:b/>
        </w:rPr>
      </w:pPr>
    </w:p>
    <w:p w:rsidR="00474503" w:rsidRDefault="00474503" w:rsidP="00C5542F">
      <w:pPr>
        <w:spacing w:line="360" w:lineRule="auto"/>
        <w:rPr>
          <w:rFonts w:ascii="Arial" w:hAnsi="Arial" w:cs="Arial"/>
          <w:b/>
        </w:rPr>
      </w:pPr>
    </w:p>
    <w:p w:rsidR="00474503" w:rsidRDefault="00474503" w:rsidP="00C5542F">
      <w:pPr>
        <w:spacing w:line="360" w:lineRule="auto"/>
        <w:rPr>
          <w:rFonts w:ascii="Arial" w:hAnsi="Arial" w:cs="Arial"/>
          <w:b/>
        </w:rPr>
      </w:pPr>
    </w:p>
    <w:p w:rsidR="000D3A3F" w:rsidRPr="00CA10BB" w:rsidRDefault="000D3A3F" w:rsidP="00C5542F">
      <w:pPr>
        <w:spacing w:line="360" w:lineRule="auto"/>
        <w:rPr>
          <w:rFonts w:ascii="Arial" w:hAnsi="Arial" w:cs="Arial"/>
          <w:b/>
        </w:rPr>
      </w:pPr>
      <w:r w:rsidRPr="00CA10BB">
        <w:rPr>
          <w:rFonts w:ascii="Arial" w:hAnsi="Arial" w:cs="Arial"/>
          <w:b/>
        </w:rPr>
        <w:t>Legal Framework</w:t>
      </w:r>
    </w:p>
    <w:p w:rsidR="00853A56" w:rsidRPr="00CA10BB" w:rsidRDefault="009E014B" w:rsidP="00C5542F">
      <w:pPr>
        <w:spacing w:line="360" w:lineRule="auto"/>
        <w:rPr>
          <w:rFonts w:ascii="Arial" w:hAnsi="Arial" w:cs="Arial"/>
          <w:b/>
        </w:rPr>
      </w:pPr>
      <w:r w:rsidRPr="00CA10BB">
        <w:rPr>
          <w:rFonts w:ascii="Arial" w:hAnsi="Arial" w:cs="Arial"/>
        </w:rPr>
        <w:t xml:space="preserve">Visit The Food Standards Agency at </w:t>
      </w:r>
      <w:hyperlink r:id="rId7" w:anchor=".UGyF-pjA-uw" w:history="1">
        <w:r w:rsidRPr="00CA10BB">
          <w:rPr>
            <w:rStyle w:val="Hyperlink"/>
            <w:rFonts w:ascii="Arial" w:hAnsi="Arial" w:cs="Arial"/>
          </w:rPr>
          <w:t>http://www.food.gov.uk/enforcement/regulation/foodlaw/#.UGyF-pjA-uw</w:t>
        </w:r>
      </w:hyperlink>
      <w:r w:rsidRPr="00CA10BB">
        <w:rPr>
          <w:rFonts w:ascii="Arial" w:hAnsi="Arial" w:cs="Arial"/>
        </w:rPr>
        <w:t xml:space="preserve"> for details about U.K requirements.</w:t>
      </w:r>
    </w:p>
    <w:p w:rsidR="009E014B" w:rsidRPr="00CA10BB" w:rsidRDefault="00FD4BF5" w:rsidP="009E014B">
      <w:pPr>
        <w:pStyle w:val="ListParagraph"/>
        <w:spacing w:line="360" w:lineRule="auto"/>
        <w:ind w:left="0"/>
        <w:rPr>
          <w:rFonts w:ascii="Arial" w:hAnsi="Arial" w:cs="Arial"/>
          <w:b/>
        </w:rPr>
      </w:pPr>
      <w:hyperlink r:id="rId8" w:history="1">
        <w:r w:rsidRPr="00CA10BB">
          <w:rPr>
            <w:rStyle w:val="Hyperlink"/>
            <w:rFonts w:ascii="Arial" w:hAnsi="Arial" w:cs="Arial"/>
            <w:color w:val="006F51"/>
            <w:shd w:val="clear" w:color="auto" w:fill="FFFFFF"/>
          </w:rPr>
          <w:t>The Food Safety Act 1990 (as amended)</w:t>
        </w:r>
      </w:hyperlink>
      <w:r w:rsidRPr="00CA10BB">
        <w:rPr>
          <w:rStyle w:val="apple-converted-space"/>
          <w:rFonts w:ascii="Arial" w:hAnsi="Arial" w:cs="Arial"/>
          <w:color w:val="333333"/>
          <w:shd w:val="clear" w:color="auto" w:fill="FFFFFF"/>
        </w:rPr>
        <w:t> </w:t>
      </w:r>
      <w:r w:rsidRPr="00CA10BB">
        <w:rPr>
          <w:rFonts w:ascii="Arial" w:hAnsi="Arial" w:cs="Arial"/>
          <w:color w:val="333333"/>
          <w:shd w:val="clear" w:color="auto" w:fill="FFFFFF"/>
        </w:rPr>
        <w:t>provides the framework for all food legislation in Great Britain</w:t>
      </w:r>
      <w:r w:rsidRPr="00CA10BB">
        <w:rPr>
          <w:rStyle w:val="apple-converted-space"/>
          <w:rFonts w:ascii="Arial" w:hAnsi="Arial" w:cs="Arial"/>
          <w:color w:val="333333"/>
          <w:shd w:val="clear" w:color="auto" w:fill="FFFFFF"/>
        </w:rPr>
        <w:t> </w:t>
      </w:r>
    </w:p>
    <w:p w:rsidR="001C5DD6" w:rsidRDefault="00FD4BF5" w:rsidP="009E014B">
      <w:pPr>
        <w:pStyle w:val="ListParagraph"/>
        <w:spacing w:line="360" w:lineRule="auto"/>
        <w:ind w:left="0"/>
        <w:rPr>
          <w:rFonts w:ascii="Arial" w:hAnsi="Arial" w:cs="Arial"/>
        </w:rPr>
      </w:pPr>
      <w:hyperlink r:id="rId9" w:history="1">
        <w:r w:rsidRPr="00CA10BB">
          <w:rPr>
            <w:rStyle w:val="Hyperlink"/>
            <w:rFonts w:ascii="Arial" w:hAnsi="Arial" w:cs="Arial"/>
            <w:color w:val="006F51"/>
            <w:shd w:val="clear" w:color="auto" w:fill="FFFFFF"/>
          </w:rPr>
          <w:t>The General Food Law Regulation (EC) 178/2002</w:t>
        </w:r>
      </w:hyperlink>
      <w:r w:rsidRPr="00CA10BB">
        <w:rPr>
          <w:rStyle w:val="apple-converted-space"/>
          <w:rFonts w:ascii="Arial" w:hAnsi="Arial" w:cs="Arial"/>
          <w:color w:val="333333"/>
          <w:shd w:val="clear" w:color="auto" w:fill="FFFFFF"/>
        </w:rPr>
        <w:t> </w:t>
      </w:r>
      <w:r w:rsidRPr="00CA10BB">
        <w:rPr>
          <w:rFonts w:ascii="Arial" w:hAnsi="Arial" w:cs="Arial"/>
          <w:color w:val="333333"/>
          <w:shd w:val="clear" w:color="auto" w:fill="FFFFFF"/>
        </w:rPr>
        <w:t>is EC legislation on general food safety.</w:t>
      </w:r>
      <w:r w:rsidRPr="00CA10BB">
        <w:rPr>
          <w:rStyle w:val="apple-converted-space"/>
          <w:rFonts w:ascii="Arial" w:hAnsi="Arial" w:cs="Arial"/>
          <w:color w:val="333333"/>
          <w:shd w:val="clear" w:color="auto" w:fill="FFFFFF"/>
        </w:rPr>
        <w:t> </w:t>
      </w:r>
    </w:p>
    <w:p w:rsidR="000D3A3F" w:rsidRPr="00CA10BB" w:rsidRDefault="000D3A3F" w:rsidP="009E014B">
      <w:pPr>
        <w:pStyle w:val="ListParagraph"/>
        <w:spacing w:line="360" w:lineRule="auto"/>
        <w:ind w:left="0"/>
        <w:rPr>
          <w:rFonts w:ascii="Arial" w:hAnsi="Arial" w:cs="Arial"/>
        </w:rPr>
      </w:pPr>
      <w:r w:rsidRPr="00CA10BB">
        <w:rPr>
          <w:rFonts w:ascii="Arial" w:hAnsi="Arial" w:cs="Arial"/>
        </w:rPr>
        <w:t>Regulation (EC) 852/2004 of the European Parliament and of the Council on the hygiene of foodstuffs</w:t>
      </w:r>
    </w:p>
    <w:p w:rsidR="000D3A3F" w:rsidRDefault="000D3A3F" w:rsidP="00C5542F">
      <w:pPr>
        <w:spacing w:line="360" w:lineRule="auto"/>
        <w:rPr>
          <w:rFonts w:ascii="Arial" w:hAnsi="Arial" w:cs="Arial"/>
          <w:b/>
          <w:sz w:val="22"/>
          <w:szCs w:val="22"/>
        </w:rPr>
      </w:pPr>
    </w:p>
    <w:p w:rsidR="000D3A3F" w:rsidRDefault="000D3A3F" w:rsidP="00C5542F">
      <w:pPr>
        <w:spacing w:line="360" w:lineRule="auto"/>
        <w:rPr>
          <w:rFonts w:ascii="Arial" w:hAnsi="Arial" w:cs="Arial"/>
          <w:b/>
          <w:sz w:val="22"/>
          <w:szCs w:val="22"/>
        </w:rPr>
      </w:pPr>
      <w:r>
        <w:rPr>
          <w:rFonts w:ascii="Arial" w:hAnsi="Arial" w:cs="Arial"/>
          <w:b/>
          <w:sz w:val="22"/>
          <w:szCs w:val="22"/>
        </w:rPr>
        <w:t>Further guidance</w:t>
      </w:r>
    </w:p>
    <w:p w:rsidR="000D3A3F" w:rsidRPr="00C5542F" w:rsidRDefault="000D3A3F" w:rsidP="00C5542F">
      <w:pPr>
        <w:spacing w:line="360" w:lineRule="auto"/>
        <w:rPr>
          <w:rFonts w:ascii="Arial" w:hAnsi="Arial" w:cs="Arial"/>
          <w:b/>
          <w:sz w:val="22"/>
          <w:szCs w:val="22"/>
        </w:rPr>
      </w:pPr>
    </w:p>
    <w:p w:rsidR="000D3A3F" w:rsidRPr="007C27FD" w:rsidRDefault="000D3A3F" w:rsidP="00C5542F">
      <w:pPr>
        <w:pStyle w:val="ListParagraph"/>
        <w:numPr>
          <w:ilvl w:val="0"/>
          <w:numId w:val="25"/>
        </w:numPr>
        <w:spacing w:line="360" w:lineRule="auto"/>
        <w:rPr>
          <w:rFonts w:ascii="Arial" w:hAnsi="Arial" w:cs="Arial"/>
          <w:sz w:val="22"/>
          <w:szCs w:val="22"/>
        </w:rPr>
      </w:pPr>
      <w:r w:rsidRPr="007C27FD">
        <w:rPr>
          <w:rFonts w:ascii="Arial" w:hAnsi="Arial" w:cs="Arial"/>
          <w:i/>
          <w:sz w:val="22"/>
          <w:szCs w:val="22"/>
        </w:rPr>
        <w:t>Safer Food Better Business</w:t>
      </w:r>
      <w:r w:rsidRPr="007C27FD">
        <w:rPr>
          <w:rFonts w:ascii="Arial" w:hAnsi="Arial" w:cs="Arial"/>
          <w:sz w:val="22"/>
          <w:szCs w:val="22"/>
        </w:rPr>
        <w:t xml:space="preserve"> (Food Standards Agency)</w:t>
      </w:r>
      <w:r>
        <w:rPr>
          <w:rFonts w:ascii="Arial" w:hAnsi="Arial" w:cs="Arial"/>
          <w:sz w:val="22"/>
          <w:szCs w:val="22"/>
        </w:rPr>
        <w:br/>
      </w:r>
      <w:r w:rsidRPr="00872D04">
        <w:rPr>
          <w:rFonts w:ascii="Arial" w:hAnsi="Arial" w:cs="Arial"/>
          <w:sz w:val="22"/>
          <w:szCs w:val="22"/>
        </w:rPr>
        <w:t>www.food.gov.uk/foodindustry/regulation/hygleg/hyglegresources/sfbb/sfbbcaterers</w:t>
      </w:r>
    </w:p>
    <w:p w:rsidR="000D3A3F" w:rsidRPr="00C5542F" w:rsidRDefault="000D3A3F" w:rsidP="00C5542F">
      <w:pPr>
        <w:pStyle w:val="ListParagraph"/>
        <w:spacing w:line="360" w:lineRule="auto"/>
        <w:ind w:left="360"/>
        <w:rPr>
          <w:rFonts w:ascii="Arial" w:hAnsi="Arial" w:cs="Arial"/>
          <w:sz w:val="22"/>
          <w:szCs w:val="22"/>
        </w:rPr>
      </w:pPr>
    </w:p>
    <w:tbl>
      <w:tblPr>
        <w:tblW w:w="5000" w:type="pct"/>
        <w:tblLook w:val="01E0" w:firstRow="1" w:lastRow="1" w:firstColumn="1" w:lastColumn="1" w:noHBand="0" w:noVBand="0"/>
      </w:tblPr>
      <w:tblGrid>
        <w:gridCol w:w="4419"/>
        <w:gridCol w:w="3346"/>
        <w:gridCol w:w="1838"/>
      </w:tblGrid>
      <w:tr w:rsidR="000D3A3F" w:rsidRPr="00C5542F">
        <w:tc>
          <w:tcPr>
            <w:tcW w:w="2301" w:type="pct"/>
          </w:tcPr>
          <w:p w:rsidR="000D3A3F" w:rsidRPr="0061673A" w:rsidRDefault="000D3A3F" w:rsidP="0061673A">
            <w:pPr>
              <w:spacing w:line="360" w:lineRule="auto"/>
              <w:rPr>
                <w:rFonts w:ascii="Arial" w:hAnsi="Arial" w:cs="Arial"/>
              </w:rPr>
            </w:pPr>
            <w:r w:rsidRPr="0061673A">
              <w:rPr>
                <w:rFonts w:ascii="Arial" w:hAnsi="Arial" w:cs="Arial"/>
                <w:sz w:val="22"/>
                <w:szCs w:val="22"/>
              </w:rPr>
              <w:t>This policy was adopted at a meeting of</w:t>
            </w:r>
          </w:p>
        </w:tc>
        <w:tc>
          <w:tcPr>
            <w:tcW w:w="1742" w:type="pct"/>
            <w:tcBorders>
              <w:bottom w:val="single" w:sz="4" w:space="0" w:color="9BBB59"/>
            </w:tcBorders>
          </w:tcPr>
          <w:p w:rsidR="000D3A3F" w:rsidRPr="0061673A" w:rsidRDefault="00DC1535" w:rsidP="0061673A">
            <w:pPr>
              <w:spacing w:line="360" w:lineRule="auto"/>
              <w:rPr>
                <w:rFonts w:ascii="Arial" w:hAnsi="Arial" w:cs="Arial"/>
              </w:rPr>
            </w:pPr>
            <w:r>
              <w:rPr>
                <w:rFonts w:ascii="Arial" w:hAnsi="Arial" w:cs="Arial"/>
              </w:rPr>
              <w:t>Portreath Pre-School</w:t>
            </w:r>
          </w:p>
        </w:tc>
        <w:tc>
          <w:tcPr>
            <w:tcW w:w="957" w:type="pct"/>
          </w:tcPr>
          <w:p w:rsidR="000D3A3F" w:rsidRPr="0061673A" w:rsidRDefault="000D3A3F" w:rsidP="0061673A">
            <w:pPr>
              <w:spacing w:line="360" w:lineRule="auto"/>
              <w:rPr>
                <w:rFonts w:ascii="Arial" w:hAnsi="Arial" w:cs="Arial"/>
              </w:rPr>
            </w:pPr>
          </w:p>
        </w:tc>
      </w:tr>
      <w:tr w:rsidR="000D3A3F" w:rsidRPr="00C5542F">
        <w:tc>
          <w:tcPr>
            <w:tcW w:w="2301" w:type="pct"/>
          </w:tcPr>
          <w:p w:rsidR="000D3A3F" w:rsidRPr="0061673A" w:rsidRDefault="000D3A3F" w:rsidP="0061673A">
            <w:pPr>
              <w:spacing w:line="360" w:lineRule="auto"/>
              <w:rPr>
                <w:rFonts w:ascii="Arial" w:hAnsi="Arial" w:cs="Arial"/>
              </w:rPr>
            </w:pPr>
            <w:r w:rsidRPr="0061673A">
              <w:rPr>
                <w:rFonts w:ascii="Arial" w:hAnsi="Arial" w:cs="Arial"/>
                <w:sz w:val="22"/>
                <w:szCs w:val="22"/>
              </w:rPr>
              <w:t>Held on</w:t>
            </w:r>
          </w:p>
        </w:tc>
        <w:tc>
          <w:tcPr>
            <w:tcW w:w="1742" w:type="pct"/>
            <w:tcBorders>
              <w:top w:val="single" w:sz="4" w:space="0" w:color="9BBB59"/>
              <w:bottom w:val="single" w:sz="4" w:space="0" w:color="9BBB59"/>
            </w:tcBorders>
          </w:tcPr>
          <w:p w:rsidR="000D3A3F" w:rsidRPr="0061673A" w:rsidRDefault="006A2C88" w:rsidP="0061673A">
            <w:pPr>
              <w:spacing w:line="360" w:lineRule="auto"/>
              <w:rPr>
                <w:rFonts w:ascii="Arial" w:hAnsi="Arial" w:cs="Arial"/>
              </w:rPr>
            </w:pPr>
            <w:r>
              <w:rPr>
                <w:rFonts w:ascii="Arial" w:hAnsi="Arial" w:cs="Arial"/>
              </w:rPr>
              <w:t>13.03.2017</w:t>
            </w:r>
          </w:p>
        </w:tc>
        <w:tc>
          <w:tcPr>
            <w:tcW w:w="957" w:type="pct"/>
          </w:tcPr>
          <w:p w:rsidR="000D3A3F" w:rsidRPr="0061673A" w:rsidRDefault="000D3A3F" w:rsidP="0061673A">
            <w:pPr>
              <w:spacing w:line="360" w:lineRule="auto"/>
              <w:rPr>
                <w:rFonts w:ascii="Arial" w:hAnsi="Arial" w:cs="Arial"/>
              </w:rPr>
            </w:pPr>
          </w:p>
        </w:tc>
      </w:tr>
      <w:tr w:rsidR="000D3A3F" w:rsidRPr="00C5542F">
        <w:tc>
          <w:tcPr>
            <w:tcW w:w="2301" w:type="pct"/>
          </w:tcPr>
          <w:p w:rsidR="000D3A3F" w:rsidRPr="0061673A" w:rsidRDefault="009E5185" w:rsidP="0061673A">
            <w:pPr>
              <w:spacing w:line="360" w:lineRule="auto"/>
              <w:rPr>
                <w:rFonts w:ascii="Arial" w:hAnsi="Arial" w:cs="Arial"/>
              </w:rPr>
            </w:pPr>
            <w:r>
              <w:rPr>
                <w:rFonts w:ascii="Arial" w:hAnsi="Arial" w:cs="Arial"/>
              </w:rPr>
              <w:t xml:space="preserve">Last reviewed and amended: </w:t>
            </w:r>
          </w:p>
        </w:tc>
        <w:tc>
          <w:tcPr>
            <w:tcW w:w="1742" w:type="pct"/>
            <w:tcBorders>
              <w:top w:val="single" w:sz="4" w:space="0" w:color="9BBB59"/>
              <w:bottom w:val="single" w:sz="4" w:space="0" w:color="9BBB59"/>
            </w:tcBorders>
          </w:tcPr>
          <w:p w:rsidR="000D3A3F" w:rsidRPr="0061673A" w:rsidRDefault="001C5DD6" w:rsidP="0061673A">
            <w:pPr>
              <w:spacing w:line="360" w:lineRule="auto"/>
              <w:rPr>
                <w:rFonts w:ascii="Arial" w:hAnsi="Arial" w:cs="Arial"/>
              </w:rPr>
            </w:pPr>
            <w:r>
              <w:rPr>
                <w:rFonts w:ascii="Arial" w:hAnsi="Arial" w:cs="Arial"/>
              </w:rPr>
              <w:t>24/06/2024</w:t>
            </w:r>
          </w:p>
        </w:tc>
        <w:tc>
          <w:tcPr>
            <w:tcW w:w="957" w:type="pct"/>
          </w:tcPr>
          <w:p w:rsidR="000D3A3F" w:rsidRPr="0061673A" w:rsidRDefault="000D3A3F" w:rsidP="0061673A">
            <w:pPr>
              <w:spacing w:line="360" w:lineRule="auto"/>
              <w:rPr>
                <w:rFonts w:ascii="Arial" w:hAnsi="Arial" w:cs="Arial"/>
              </w:rPr>
            </w:pPr>
          </w:p>
        </w:tc>
      </w:tr>
    </w:tbl>
    <w:p w:rsidR="000F1566" w:rsidRPr="00C5542F" w:rsidRDefault="000F1566" w:rsidP="00C5542F">
      <w:pPr>
        <w:pStyle w:val="ListParagraph"/>
        <w:spacing w:line="360" w:lineRule="auto"/>
        <w:ind w:left="0"/>
        <w:rPr>
          <w:rFonts w:ascii="Arial" w:hAnsi="Arial" w:cs="Arial"/>
          <w:sz w:val="22"/>
          <w:szCs w:val="22"/>
        </w:rPr>
      </w:pPr>
    </w:p>
    <w:sectPr w:rsidR="000F1566" w:rsidRPr="00C5542F" w:rsidSect="00C5542F">
      <w:footerReference w:type="default" r:id="rId10"/>
      <w:headerReference w:type="first" r:id="rId11"/>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64A8" w:rsidRDefault="000464A8" w:rsidP="00A13A61">
      <w:r>
        <w:separator/>
      </w:r>
    </w:p>
  </w:endnote>
  <w:endnote w:type="continuationSeparator" w:id="0">
    <w:p w:rsidR="000464A8" w:rsidRDefault="000464A8" w:rsidP="00A1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566" w:rsidRDefault="000F1566">
    <w:pPr>
      <w:pStyle w:val="Footer"/>
    </w:pPr>
    <w:r>
      <w:fldChar w:fldCharType="begin"/>
    </w:r>
    <w:r>
      <w:instrText xml:space="preserve"> PAGE   \* MERGEFORMAT </w:instrText>
    </w:r>
    <w:r>
      <w:fldChar w:fldCharType="separate"/>
    </w:r>
    <w:r w:rsidR="00A500BA">
      <w:rPr>
        <w:noProof/>
      </w:rPr>
      <w:t>3</w:t>
    </w:r>
    <w:r>
      <w:rPr>
        <w:noProof/>
      </w:rPr>
      <w:fldChar w:fldCharType="end"/>
    </w:r>
  </w:p>
  <w:p w:rsidR="007D5A82" w:rsidRDefault="007D5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64A8" w:rsidRDefault="000464A8" w:rsidP="00A13A61">
      <w:r>
        <w:separator/>
      </w:r>
    </w:p>
  </w:footnote>
  <w:footnote w:type="continuationSeparator" w:id="0">
    <w:p w:rsidR="000464A8" w:rsidRDefault="000464A8" w:rsidP="00A1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5EB" w:rsidRDefault="00F02F1A" w:rsidP="00CA10BB">
    <w:pPr>
      <w:pStyle w:val="Header"/>
      <w:rPr>
        <w:szCs w:val="22"/>
      </w:rPr>
    </w:pPr>
    <w:r>
      <w:rPr>
        <w:noProof/>
        <w:szCs w:val="22"/>
      </w:rPr>
      <w:drawing>
        <wp:anchor distT="0" distB="0" distL="114300" distR="114300" simplePos="0" relativeHeight="251657728" behindDoc="1" locked="0" layoutInCell="1" allowOverlap="1">
          <wp:simplePos x="0" y="0"/>
          <wp:positionH relativeFrom="column">
            <wp:posOffset>-381000</wp:posOffset>
          </wp:positionH>
          <wp:positionV relativeFrom="paragraph">
            <wp:posOffset>-289560</wp:posOffset>
          </wp:positionV>
          <wp:extent cx="1085850" cy="1162050"/>
          <wp:effectExtent l="0" t="0" r="0" b="0"/>
          <wp:wrapTight wrapText="bothSides">
            <wp:wrapPolygon edited="0">
              <wp:start x="0" y="0"/>
              <wp:lineTo x="0" y="21482"/>
              <wp:lineTo x="21474" y="21482"/>
              <wp:lineTo x="21474" y="0"/>
              <wp:lineTo x="0" y="0"/>
            </wp:wrapPolygon>
          </wp:wrapTight>
          <wp:docPr id="1"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0BB" w:rsidRPr="00C5542F" w:rsidRDefault="00CA10BB" w:rsidP="00CA10BB">
    <w:pPr>
      <w:spacing w:line="360" w:lineRule="auto"/>
      <w:rPr>
        <w:rFonts w:ascii="Arial" w:hAnsi="Arial" w:cs="Arial"/>
        <w:b/>
        <w:sz w:val="28"/>
        <w:szCs w:val="28"/>
      </w:rPr>
    </w:pPr>
    <w:r>
      <w:rPr>
        <w:rFonts w:ascii="Arial" w:hAnsi="Arial" w:cs="Arial"/>
        <w:b/>
        <w:sz w:val="28"/>
        <w:szCs w:val="28"/>
      </w:rPr>
      <w:t xml:space="preserve">                 </w:t>
    </w:r>
    <w:r w:rsidR="00057A53">
      <w:rPr>
        <w:rFonts w:ascii="Arial" w:hAnsi="Arial" w:cs="Arial"/>
        <w:b/>
        <w:sz w:val="28"/>
        <w:szCs w:val="28"/>
      </w:rPr>
      <w:t xml:space="preserve">Health </w:t>
    </w:r>
  </w:p>
  <w:p w:rsidR="00CA10BB" w:rsidRPr="00CA10BB" w:rsidRDefault="00CA10BB" w:rsidP="00CA10BB">
    <w:pPr>
      <w:spacing w:line="360" w:lineRule="auto"/>
      <w:rPr>
        <w:rFonts w:ascii="Arial" w:hAnsi="Arial" w:cs="Arial"/>
      </w:rPr>
    </w:pPr>
    <w:r>
      <w:rPr>
        <w:rFonts w:ascii="Arial" w:hAnsi="Arial" w:cs="Arial"/>
        <w:b/>
        <w:sz w:val="28"/>
        <w:szCs w:val="28"/>
      </w:rPr>
      <w:tab/>
      <w:t xml:space="preserve">       </w:t>
    </w:r>
    <w:r w:rsidRPr="00C5542F">
      <w:rPr>
        <w:rFonts w:ascii="Arial" w:hAnsi="Arial" w:cs="Arial"/>
        <w:b/>
        <w:sz w:val="28"/>
        <w:szCs w:val="28"/>
      </w:rPr>
      <w:t>Food hygiene</w:t>
    </w:r>
    <w:r w:rsidRPr="00CA10BB">
      <w:rPr>
        <w:rFonts w:ascii="Arial" w:hAnsi="Arial" w:cs="Arial"/>
      </w:rPr>
      <w:t xml:space="preserve"> (Including procedur</w:t>
    </w:r>
    <w:r>
      <w:rPr>
        <w:rFonts w:ascii="Arial" w:hAnsi="Arial" w:cs="Arial"/>
      </w:rPr>
      <w:t>e for reporting food poisoning).</w:t>
    </w:r>
  </w:p>
  <w:p w:rsidR="00CA10BB" w:rsidRPr="00CA10BB" w:rsidRDefault="00CA10BB" w:rsidP="00CA10BB">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E145F"/>
    <w:multiLevelType w:val="hybridMultilevel"/>
    <w:tmpl w:val="4986264C"/>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5201EB"/>
    <w:multiLevelType w:val="hybridMultilevel"/>
    <w:tmpl w:val="62F8637C"/>
    <w:lvl w:ilvl="0" w:tplc="C382D0FC">
      <w:start w:val="1"/>
      <w:numFmt w:val="bullet"/>
      <w:lvlText w:val=""/>
      <w:lvlJc w:val="left"/>
      <w:pPr>
        <w:tabs>
          <w:tab w:val="num" w:pos="360"/>
        </w:tabs>
        <w:ind w:left="360" w:hanging="360"/>
      </w:pPr>
      <w:rPr>
        <w:rFonts w:ascii="Wingdings" w:hAnsi="Wingdings" w:hint="default"/>
        <w:color w:val="9BBB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F3DDF"/>
    <w:multiLevelType w:val="hybridMultilevel"/>
    <w:tmpl w:val="8076CA16"/>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162924"/>
    <w:multiLevelType w:val="hybridMultilevel"/>
    <w:tmpl w:val="2AD81E82"/>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34754"/>
    <w:multiLevelType w:val="hybridMultilevel"/>
    <w:tmpl w:val="41C6A03A"/>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21322559">
    <w:abstractNumId w:val="2"/>
  </w:num>
  <w:num w:numId="2" w16cid:durableId="1109469571">
    <w:abstractNumId w:val="9"/>
  </w:num>
  <w:num w:numId="3" w16cid:durableId="975142044">
    <w:abstractNumId w:val="10"/>
  </w:num>
  <w:num w:numId="4" w16cid:durableId="787358386">
    <w:abstractNumId w:val="1"/>
  </w:num>
  <w:num w:numId="5" w16cid:durableId="1151210197">
    <w:abstractNumId w:val="11"/>
  </w:num>
  <w:num w:numId="6" w16cid:durableId="573393624">
    <w:abstractNumId w:val="3"/>
  </w:num>
  <w:num w:numId="7" w16cid:durableId="2009210607">
    <w:abstractNumId w:val="21"/>
  </w:num>
  <w:num w:numId="8" w16cid:durableId="2062093219">
    <w:abstractNumId w:val="7"/>
  </w:num>
  <w:num w:numId="9" w16cid:durableId="408385015">
    <w:abstractNumId w:val="8"/>
  </w:num>
  <w:num w:numId="10" w16cid:durableId="1594123353">
    <w:abstractNumId w:val="5"/>
  </w:num>
  <w:num w:numId="11" w16cid:durableId="2086414488">
    <w:abstractNumId w:val="19"/>
  </w:num>
  <w:num w:numId="12" w16cid:durableId="153375368">
    <w:abstractNumId w:val="13"/>
  </w:num>
  <w:num w:numId="13" w16cid:durableId="2127237721">
    <w:abstractNumId w:val="23"/>
  </w:num>
  <w:num w:numId="14" w16cid:durableId="520514568">
    <w:abstractNumId w:val="12"/>
  </w:num>
  <w:num w:numId="15" w16cid:durableId="1029917249">
    <w:abstractNumId w:val="0"/>
  </w:num>
  <w:num w:numId="16" w16cid:durableId="1781215630">
    <w:abstractNumId w:val="16"/>
  </w:num>
  <w:num w:numId="17" w16cid:durableId="1178499149">
    <w:abstractNumId w:val="4"/>
  </w:num>
  <w:num w:numId="18" w16cid:durableId="2896981">
    <w:abstractNumId w:val="15"/>
  </w:num>
  <w:num w:numId="19" w16cid:durableId="1372195523">
    <w:abstractNumId w:val="24"/>
  </w:num>
  <w:num w:numId="20" w16cid:durableId="387073308">
    <w:abstractNumId w:val="22"/>
  </w:num>
  <w:num w:numId="21" w16cid:durableId="141508880">
    <w:abstractNumId w:val="20"/>
  </w:num>
  <w:num w:numId="22" w16cid:durableId="1393390264">
    <w:abstractNumId w:val="17"/>
  </w:num>
  <w:num w:numId="23" w16cid:durableId="1397434815">
    <w:abstractNumId w:val="6"/>
  </w:num>
  <w:num w:numId="24" w16cid:durableId="1070074501">
    <w:abstractNumId w:val="14"/>
  </w:num>
  <w:num w:numId="25" w16cid:durableId="1277910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36042"/>
    <w:rsid w:val="000464A8"/>
    <w:rsid w:val="0005544B"/>
    <w:rsid w:val="00057A53"/>
    <w:rsid w:val="000B4F85"/>
    <w:rsid w:val="000D3A3F"/>
    <w:rsid w:val="000E1E4D"/>
    <w:rsid w:val="000E3710"/>
    <w:rsid w:val="000E74E2"/>
    <w:rsid w:val="000F1545"/>
    <w:rsid w:val="000F1566"/>
    <w:rsid w:val="000F24EC"/>
    <w:rsid w:val="00113648"/>
    <w:rsid w:val="00116EA3"/>
    <w:rsid w:val="00126FFA"/>
    <w:rsid w:val="00191AD1"/>
    <w:rsid w:val="001974F8"/>
    <w:rsid w:val="001A7226"/>
    <w:rsid w:val="001C5DD6"/>
    <w:rsid w:val="002705EB"/>
    <w:rsid w:val="002A20C7"/>
    <w:rsid w:val="002B6F44"/>
    <w:rsid w:val="00305FB6"/>
    <w:rsid w:val="00313349"/>
    <w:rsid w:val="00316552"/>
    <w:rsid w:val="00363773"/>
    <w:rsid w:val="00411654"/>
    <w:rsid w:val="00416917"/>
    <w:rsid w:val="00416D92"/>
    <w:rsid w:val="00435D8D"/>
    <w:rsid w:val="00437E77"/>
    <w:rsid w:val="004504B8"/>
    <w:rsid w:val="004602A2"/>
    <w:rsid w:val="00474503"/>
    <w:rsid w:val="004B6118"/>
    <w:rsid w:val="004D5BBA"/>
    <w:rsid w:val="005118D2"/>
    <w:rsid w:val="00532D6E"/>
    <w:rsid w:val="00542616"/>
    <w:rsid w:val="00557D85"/>
    <w:rsid w:val="0058232E"/>
    <w:rsid w:val="00584644"/>
    <w:rsid w:val="005D0E7B"/>
    <w:rsid w:val="005D7B12"/>
    <w:rsid w:val="00611E45"/>
    <w:rsid w:val="00612963"/>
    <w:rsid w:val="0061673A"/>
    <w:rsid w:val="006204D5"/>
    <w:rsid w:val="00647A20"/>
    <w:rsid w:val="00652886"/>
    <w:rsid w:val="006A2C88"/>
    <w:rsid w:val="006D40D8"/>
    <w:rsid w:val="006D4974"/>
    <w:rsid w:val="006D4FED"/>
    <w:rsid w:val="006F19CE"/>
    <w:rsid w:val="006F3C18"/>
    <w:rsid w:val="00725BC9"/>
    <w:rsid w:val="00754DB7"/>
    <w:rsid w:val="00755602"/>
    <w:rsid w:val="00770FD6"/>
    <w:rsid w:val="00793A6C"/>
    <w:rsid w:val="0079522A"/>
    <w:rsid w:val="007C27FD"/>
    <w:rsid w:val="007D5A82"/>
    <w:rsid w:val="00853A56"/>
    <w:rsid w:val="00872D04"/>
    <w:rsid w:val="008A516A"/>
    <w:rsid w:val="008E6F57"/>
    <w:rsid w:val="009029C6"/>
    <w:rsid w:val="00906004"/>
    <w:rsid w:val="00956608"/>
    <w:rsid w:val="00961909"/>
    <w:rsid w:val="00996486"/>
    <w:rsid w:val="009E014B"/>
    <w:rsid w:val="009E5185"/>
    <w:rsid w:val="00A13A61"/>
    <w:rsid w:val="00A178EB"/>
    <w:rsid w:val="00A31FA8"/>
    <w:rsid w:val="00A47A00"/>
    <w:rsid w:val="00A500BA"/>
    <w:rsid w:val="00A70CCC"/>
    <w:rsid w:val="00A75236"/>
    <w:rsid w:val="00A872C2"/>
    <w:rsid w:val="00AB059C"/>
    <w:rsid w:val="00B25624"/>
    <w:rsid w:val="00BE006C"/>
    <w:rsid w:val="00C309D6"/>
    <w:rsid w:val="00C47A2F"/>
    <w:rsid w:val="00C5542F"/>
    <w:rsid w:val="00C70155"/>
    <w:rsid w:val="00C71E0E"/>
    <w:rsid w:val="00C953DA"/>
    <w:rsid w:val="00CA10BB"/>
    <w:rsid w:val="00CB2006"/>
    <w:rsid w:val="00CB25FE"/>
    <w:rsid w:val="00CD5652"/>
    <w:rsid w:val="00D42DAD"/>
    <w:rsid w:val="00D56E03"/>
    <w:rsid w:val="00D62BDE"/>
    <w:rsid w:val="00DC1535"/>
    <w:rsid w:val="00E02110"/>
    <w:rsid w:val="00E501D6"/>
    <w:rsid w:val="00E51263"/>
    <w:rsid w:val="00E63EAD"/>
    <w:rsid w:val="00E65254"/>
    <w:rsid w:val="00ED66B4"/>
    <w:rsid w:val="00EF1165"/>
    <w:rsid w:val="00EF6B8C"/>
    <w:rsid w:val="00F02F1A"/>
    <w:rsid w:val="00F17923"/>
    <w:rsid w:val="00F26509"/>
    <w:rsid w:val="00F34B33"/>
    <w:rsid w:val="00F362BF"/>
    <w:rsid w:val="00F75A73"/>
    <w:rsid w:val="00FA351A"/>
    <w:rsid w:val="00FD493D"/>
    <w:rsid w:val="00FD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77746"/>
  <w15:chartTrackingRefBased/>
  <w15:docId w15:val="{CC7E21F4-3F68-864A-83C2-3B00CD5D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F6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13A61"/>
    <w:rPr>
      <w:rFonts w:ascii="Tahoma" w:hAnsi="Tahoma" w:cs="Tahoma"/>
      <w:sz w:val="16"/>
      <w:szCs w:val="16"/>
    </w:rPr>
  </w:style>
  <w:style w:type="character" w:customStyle="1" w:styleId="BalloonTextChar">
    <w:name w:val="Balloon Text Char"/>
    <w:link w:val="BalloonText"/>
    <w:uiPriority w:val="99"/>
    <w:semiHidden/>
    <w:locked/>
    <w:rsid w:val="00A13A61"/>
    <w:rPr>
      <w:rFonts w:ascii="Tahoma" w:hAnsi="Tahoma" w:cs="Tahoma"/>
      <w:sz w:val="16"/>
      <w:szCs w:val="16"/>
      <w:lang w:val="en-GB" w:eastAsia="en-GB"/>
    </w:rPr>
  </w:style>
  <w:style w:type="paragraph" w:styleId="Header">
    <w:name w:val="header"/>
    <w:basedOn w:val="Normal"/>
    <w:link w:val="HeaderChar"/>
    <w:uiPriority w:val="99"/>
    <w:unhideWhenUsed/>
    <w:rsid w:val="00A13A61"/>
    <w:pPr>
      <w:tabs>
        <w:tab w:val="center" w:pos="4680"/>
        <w:tab w:val="right" w:pos="9360"/>
      </w:tabs>
    </w:pPr>
  </w:style>
  <w:style w:type="character" w:customStyle="1" w:styleId="HeaderChar">
    <w:name w:val="Header Char"/>
    <w:link w:val="Header"/>
    <w:uiPriority w:val="99"/>
    <w:locked/>
    <w:rsid w:val="00A13A6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A13A61"/>
    <w:pPr>
      <w:tabs>
        <w:tab w:val="center" w:pos="4680"/>
        <w:tab w:val="right" w:pos="9360"/>
      </w:tabs>
    </w:pPr>
  </w:style>
  <w:style w:type="character" w:customStyle="1" w:styleId="FooterChar">
    <w:name w:val="Footer Char"/>
    <w:link w:val="Footer"/>
    <w:uiPriority w:val="99"/>
    <w:locked/>
    <w:rsid w:val="00A13A61"/>
    <w:rPr>
      <w:rFonts w:ascii="Times New Roman" w:hAnsi="Times New Roman" w:cs="Times New Roman"/>
      <w:sz w:val="24"/>
      <w:szCs w:val="24"/>
      <w:lang w:val="en-GB" w:eastAsia="en-GB"/>
    </w:rPr>
  </w:style>
  <w:style w:type="character" w:styleId="FollowedHyperlink">
    <w:name w:val="FollowedHyperlink"/>
    <w:uiPriority w:val="99"/>
    <w:semiHidden/>
    <w:unhideWhenUsed/>
    <w:rsid w:val="00A872C2"/>
    <w:rPr>
      <w:rFonts w:cs="Times New Roman"/>
      <w:color w:val="800080"/>
      <w:u w:val="single"/>
    </w:rPr>
  </w:style>
  <w:style w:type="character" w:customStyle="1" w:styleId="apple-converted-space">
    <w:name w:val="apple-converted-space"/>
    <w:basedOn w:val="DefaultParagraphFont"/>
    <w:rsid w:val="00FD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8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psi.gov.uk/acts/acts1990/Ukpga_19900016_en_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d.gov.uk/enforcement/regulation/foodla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lex.europa.eu/LexUriServ/LexUriServ.do?uri=OJ:L:2002:031:0001:0024: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Potreath Pre-School</vt:lpstr>
    </vt:vector>
  </TitlesOfParts>
  <Company/>
  <LinksUpToDate>false</LinksUpToDate>
  <CharactersWithSpaces>4778</CharactersWithSpaces>
  <SharedDoc>false</SharedDoc>
  <HLinks>
    <vt:vector size="24" baseType="variant">
      <vt:variant>
        <vt:i4>917586</vt:i4>
      </vt:variant>
      <vt:variant>
        <vt:i4>9</vt:i4>
      </vt:variant>
      <vt:variant>
        <vt:i4>0</vt:i4>
      </vt:variant>
      <vt:variant>
        <vt:i4>5</vt:i4>
      </vt:variant>
      <vt:variant>
        <vt:lpwstr>http://www.food.gov.uk/multimedia/pdfs/fsa1782002guidance.pdf</vt:lpwstr>
      </vt:variant>
      <vt:variant>
        <vt:lpwstr/>
      </vt:variant>
      <vt:variant>
        <vt:i4>5505042</vt:i4>
      </vt:variant>
      <vt:variant>
        <vt:i4>6</vt:i4>
      </vt:variant>
      <vt:variant>
        <vt:i4>0</vt:i4>
      </vt:variant>
      <vt:variant>
        <vt:i4>5</vt:i4>
      </vt:variant>
      <vt:variant>
        <vt:lpwstr>http://eur-lex.europa.eu/LexUriServ/LexUriServ.do?uri=OJ:L:2002:031:0001:0024:EN:PDF</vt:lpwstr>
      </vt:variant>
      <vt:variant>
        <vt:lpwstr/>
      </vt:variant>
      <vt:variant>
        <vt:i4>7864348</vt:i4>
      </vt:variant>
      <vt:variant>
        <vt:i4>3</vt:i4>
      </vt:variant>
      <vt:variant>
        <vt:i4>0</vt:i4>
      </vt:variant>
      <vt:variant>
        <vt:i4>5</vt:i4>
      </vt:variant>
      <vt:variant>
        <vt:lpwstr>http://www.opsi.gov.uk/acts/acts1990/Ukpga_19900016_en_1.htm</vt:lpwstr>
      </vt:variant>
      <vt:variant>
        <vt:lpwstr/>
      </vt:variant>
      <vt:variant>
        <vt:i4>3801201</vt:i4>
      </vt:variant>
      <vt:variant>
        <vt:i4>0</vt:i4>
      </vt:variant>
      <vt:variant>
        <vt:i4>0</vt:i4>
      </vt:variant>
      <vt:variant>
        <vt:i4>5</vt:i4>
      </vt:variant>
      <vt:variant>
        <vt:lpwstr>http://www.food.gov.uk/enforcement/regulation/foodlaw/</vt:lpwstr>
      </vt:variant>
      <vt:variant>
        <vt:lpwstr>.UGyF-pjA-uw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Potreath Pre-School</dc:title>
  <dc:subject/>
  <dc:creator>user</dc:creator>
  <cp:keywords/>
  <cp:lastModifiedBy>User</cp:lastModifiedBy>
  <cp:revision>3</cp:revision>
  <cp:lastPrinted>2024-10-16T12:48:00Z</cp:lastPrinted>
  <dcterms:created xsi:type="dcterms:W3CDTF">2024-10-16T12:47:00Z</dcterms:created>
  <dcterms:modified xsi:type="dcterms:W3CDTF">2024-10-16T12:48:00Z</dcterms:modified>
</cp:coreProperties>
</file>